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3837F6" w14:textId="77777777" w:rsidR="005B51FD" w:rsidRPr="004D30E7" w:rsidRDefault="005B51FD" w:rsidP="005B51FD">
      <w:pPr>
        <w:jc w:val="center"/>
        <w:rPr>
          <w:rFonts w:ascii="Calibri" w:hAnsi="Calibri"/>
          <w:b/>
          <w:sz w:val="36"/>
          <w:szCs w:val="36"/>
        </w:rPr>
      </w:pPr>
      <w:r w:rsidRPr="004D30E7">
        <w:rPr>
          <w:rFonts w:ascii="Calibri" w:hAnsi="Calibri"/>
          <w:b/>
          <w:sz w:val="36"/>
          <w:szCs w:val="36"/>
        </w:rPr>
        <w:t>Titolo del contributo</w:t>
      </w:r>
    </w:p>
    <w:p w14:paraId="61C7A9E3" w14:textId="77777777" w:rsidR="005B51FD" w:rsidRPr="004D30E7" w:rsidRDefault="005B51FD" w:rsidP="005B51FD">
      <w:pPr>
        <w:spacing w:before="80"/>
        <w:jc w:val="center"/>
        <w:rPr>
          <w:rFonts w:ascii="Calibri" w:hAnsi="Calibri"/>
          <w:b/>
        </w:rPr>
      </w:pPr>
      <w:r w:rsidRPr="004D30E7">
        <w:rPr>
          <w:rFonts w:ascii="Calibri" w:hAnsi="Calibri"/>
          <w:b/>
        </w:rPr>
        <w:t>Sottotitolo del contributo</w:t>
      </w:r>
    </w:p>
    <w:p w14:paraId="43CD5B48" w14:textId="77777777" w:rsidR="005B51FD" w:rsidRPr="004D30E7" w:rsidRDefault="005B51FD" w:rsidP="005B51FD">
      <w:pPr>
        <w:jc w:val="center"/>
        <w:rPr>
          <w:rFonts w:ascii="Calibri" w:hAnsi="Calibri"/>
          <w:b/>
        </w:rPr>
      </w:pPr>
      <w:r w:rsidRPr="004D30E7">
        <w:rPr>
          <w:rFonts w:ascii="Calibri" w:hAnsi="Calibri"/>
          <w:b/>
        </w:rPr>
        <w:t>Sottotitolo del contributo Sottotitolo del contributo</w:t>
      </w:r>
    </w:p>
    <w:p w14:paraId="3833AFA0" w14:textId="77777777" w:rsidR="005B51FD" w:rsidRPr="004D30E7" w:rsidRDefault="005B51FD" w:rsidP="005B51FD">
      <w:pPr>
        <w:spacing w:before="240"/>
        <w:jc w:val="center"/>
        <w:rPr>
          <w:rFonts w:asciiTheme="majorHAnsi" w:hAnsiTheme="majorHAnsi"/>
          <w:sz w:val="18"/>
          <w:szCs w:val="18"/>
        </w:rPr>
      </w:pPr>
      <w:r w:rsidRPr="004D30E7">
        <w:rPr>
          <w:rFonts w:asciiTheme="majorHAnsi" w:hAnsiTheme="majorHAnsi"/>
          <w:sz w:val="18"/>
          <w:szCs w:val="18"/>
        </w:rPr>
        <w:t>NOME AUTORE</w:t>
      </w:r>
    </w:p>
    <w:p w14:paraId="31E55821" w14:textId="77777777" w:rsidR="005B51FD" w:rsidRPr="004D30E7" w:rsidRDefault="005B51FD" w:rsidP="005B51FD">
      <w:pPr>
        <w:jc w:val="center"/>
        <w:rPr>
          <w:rFonts w:asciiTheme="majorHAnsi" w:hAnsiTheme="majorHAnsi"/>
          <w:sz w:val="20"/>
          <w:szCs w:val="20"/>
        </w:rPr>
      </w:pPr>
      <w:r w:rsidRPr="004D30E7">
        <w:rPr>
          <w:rFonts w:asciiTheme="majorHAnsi" w:hAnsiTheme="majorHAnsi"/>
          <w:sz w:val="18"/>
          <w:szCs w:val="18"/>
        </w:rPr>
        <w:t>Ente di ricerca di appartenenza</w:t>
      </w:r>
    </w:p>
    <w:p w14:paraId="4672BD02" w14:textId="77777777" w:rsidR="005B51FD" w:rsidRPr="00957111" w:rsidRDefault="005B51FD" w:rsidP="005B51FD">
      <w:pPr>
        <w:spacing w:before="840"/>
        <w:rPr>
          <w:rFonts w:ascii="Calibri" w:hAnsi="Calibri"/>
          <w:b/>
          <w:sz w:val="20"/>
          <w:szCs w:val="20"/>
        </w:rPr>
      </w:pPr>
      <w:r w:rsidRPr="00957111">
        <w:rPr>
          <w:rFonts w:ascii="Calibri" w:hAnsi="Calibri"/>
          <w:b/>
          <w:sz w:val="20"/>
          <w:szCs w:val="20"/>
        </w:rPr>
        <w:t>1. Titolo paragrafo</w:t>
      </w:r>
    </w:p>
    <w:p w14:paraId="3AC9D975" w14:textId="77777777" w:rsidR="005B51FD" w:rsidRPr="00C068B1" w:rsidRDefault="005B51FD" w:rsidP="005B51FD">
      <w:pPr>
        <w:pStyle w:val="Maintextfirstline"/>
        <w:suppressAutoHyphens w:val="0"/>
        <w:rPr>
          <w:rFonts w:ascii="Garamond" w:hAnsi="Garamond"/>
          <w:sz w:val="22"/>
          <w:szCs w:val="22"/>
        </w:rPr>
      </w:pPr>
      <w:r w:rsidRPr="00C068B1">
        <w:rPr>
          <w:rFonts w:ascii="Garamond" w:hAnsi="Garamond"/>
          <w:sz w:val="22"/>
          <w:szCs w:val="22"/>
        </w:rPr>
        <w:t>Use this like a template.</w:t>
      </w:r>
    </w:p>
    <w:p w14:paraId="6CA82E46" w14:textId="77777777" w:rsidR="005B51FD" w:rsidRPr="00C068B1" w:rsidRDefault="005B51FD" w:rsidP="005B51FD">
      <w:pPr>
        <w:pStyle w:val="Maintext"/>
        <w:suppressAutoHyphens w:val="0"/>
        <w:ind w:firstLine="284"/>
        <w:rPr>
          <w:rFonts w:ascii="Garamond" w:hAnsi="Garamond"/>
          <w:sz w:val="22"/>
          <w:szCs w:val="22"/>
        </w:rPr>
      </w:pPr>
      <w:r w:rsidRPr="00C068B1">
        <w:rPr>
          <w:rFonts w:ascii="Garamond" w:hAnsi="Garamond"/>
          <w:sz w:val="22"/>
          <w:szCs w:val="22"/>
        </w:rPr>
        <w:t>Instead of simply listing Section headings of different levels we recommend to let every heading be followed by at least a short passage of text. Please note that the first line of text that follows a Section heading is not indented, whereas the first lines of all subsequent paragraphs are.</w:t>
      </w:r>
    </w:p>
    <w:p w14:paraId="0B042C4B" w14:textId="77777777" w:rsidR="005B51FD" w:rsidRPr="00C068B1" w:rsidRDefault="005B51FD" w:rsidP="005B51FD">
      <w:pPr>
        <w:pStyle w:val="Maintext"/>
        <w:suppressAutoHyphens w:val="0"/>
        <w:ind w:firstLine="284"/>
        <w:rPr>
          <w:rFonts w:ascii="Garamond" w:hAnsi="Garamond"/>
          <w:sz w:val="22"/>
          <w:szCs w:val="22"/>
        </w:rPr>
      </w:pPr>
      <w:r w:rsidRPr="00C068B1">
        <w:rPr>
          <w:rFonts w:ascii="Garamond" w:hAnsi="Garamond"/>
          <w:sz w:val="22"/>
          <w:szCs w:val="22"/>
        </w:rPr>
        <w:t>Instead of simply listing Section headings of different levels</w:t>
      </w:r>
      <w:r w:rsidRPr="00C068B1">
        <w:rPr>
          <w:rFonts w:ascii="Garamond" w:hAnsi="Garamond"/>
          <w:sz w:val="22"/>
          <w:szCs w:val="22"/>
          <w:vertAlign w:val="superscript"/>
        </w:rPr>
        <w:t>1</w:t>
      </w:r>
      <w:r w:rsidRPr="00C068B1">
        <w:rPr>
          <w:rFonts w:ascii="Garamond" w:hAnsi="Garamond"/>
          <w:sz w:val="22"/>
          <w:szCs w:val="22"/>
        </w:rPr>
        <w:t xml:space="preserve"> we recommend to let every heading be followed by at least a short passage of text. Please note that the first line of text that follows a Section heading is not indented, whereas the first lines of all subsequent paragraphs are. Instead of simply listing Section headings of different levels we recommend to let every heading be followed by at least a short passage of text</w:t>
      </w:r>
      <w:r w:rsidRPr="00C068B1">
        <w:rPr>
          <w:rFonts w:ascii="Garamond" w:hAnsi="Garamond"/>
          <w:sz w:val="22"/>
          <w:szCs w:val="22"/>
          <w:vertAlign w:val="superscript"/>
        </w:rPr>
        <w:t>2</w:t>
      </w:r>
      <w:r w:rsidRPr="00C068B1">
        <w:rPr>
          <w:rFonts w:ascii="Garamond" w:hAnsi="Garamond"/>
          <w:sz w:val="22"/>
          <w:szCs w:val="22"/>
        </w:rPr>
        <w:t>. Please note that the first line of text that follows a Section heading is not indented, whereas the first lines of all subsequent paragraphs are.</w:t>
      </w:r>
    </w:p>
    <w:p w14:paraId="3A23EC46" w14:textId="77777777" w:rsidR="005B51FD" w:rsidRPr="00C068B1" w:rsidRDefault="005B51FD" w:rsidP="005B51FD">
      <w:pPr>
        <w:pStyle w:val="Subsectionheading"/>
        <w:numPr>
          <w:ilvl w:val="0"/>
          <w:numId w:val="0"/>
        </w:numPr>
        <w:tabs>
          <w:tab w:val="left" w:pos="284"/>
        </w:tabs>
        <w:suppressAutoHyphens w:val="0"/>
        <w:spacing w:before="240" w:after="0"/>
        <w:rPr>
          <w:rFonts w:ascii="Garamond" w:eastAsia="Arial" w:hAnsi="Garamond"/>
          <w:b w:val="0"/>
          <w:i w:val="0"/>
          <w:sz w:val="22"/>
          <w:szCs w:val="22"/>
          <w:lang w:val="en-GB"/>
        </w:rPr>
      </w:pPr>
      <w:r w:rsidRPr="00C068B1">
        <w:rPr>
          <w:rFonts w:ascii="Garamond" w:eastAsia="Arial" w:hAnsi="Garamond"/>
          <w:b w:val="0"/>
          <w:sz w:val="22"/>
          <w:szCs w:val="22"/>
          <w:lang w:val="en-GB"/>
        </w:rPr>
        <w:t>1.1. Subsection Heading</w:t>
      </w:r>
      <w:r w:rsidRPr="00C068B1">
        <w:rPr>
          <w:rFonts w:ascii="Garamond" w:eastAsia="Arial" w:hAnsi="Garamond"/>
          <w:b w:val="0"/>
          <w:i w:val="0"/>
          <w:sz w:val="22"/>
          <w:szCs w:val="22"/>
          <w:lang w:val="en-GB"/>
        </w:rPr>
        <w:t xml:space="preserve">. Instead of simply listing Subsection headings of different levels we recommend to let every heading be followed by at least a short passage of text. </w:t>
      </w:r>
    </w:p>
    <w:p w14:paraId="0F2C07A8" w14:textId="77777777" w:rsidR="005B51FD" w:rsidRPr="00C068B1" w:rsidRDefault="005B51FD" w:rsidP="005B51FD">
      <w:pPr>
        <w:pStyle w:val="Maintextfirstline"/>
        <w:suppressAutoHyphens w:val="0"/>
        <w:ind w:firstLine="284"/>
        <w:rPr>
          <w:rFonts w:ascii="Garamond" w:hAnsi="Garamond"/>
          <w:sz w:val="22"/>
          <w:szCs w:val="22"/>
        </w:rPr>
      </w:pPr>
      <w:r w:rsidRPr="00C068B1">
        <w:rPr>
          <w:rFonts w:ascii="Garamond" w:hAnsi="Garamond"/>
          <w:sz w:val="22"/>
          <w:szCs w:val="22"/>
        </w:rPr>
        <w:t>Please note that the first line of text that follows a Subsection heading is not indented, whereas the first lines of all subsequent paragraphs are. Please note that the first line of text that follows a Subsection heading is not indented, whereas the first lines of all subsequent paragraphs are</w:t>
      </w:r>
      <w:r w:rsidRPr="00C068B1">
        <w:rPr>
          <w:rFonts w:ascii="Garamond" w:hAnsi="Garamond"/>
          <w:sz w:val="22"/>
          <w:szCs w:val="22"/>
          <w:vertAlign w:val="superscript"/>
        </w:rPr>
        <w:t>3</w:t>
      </w:r>
      <w:r w:rsidRPr="00C068B1">
        <w:rPr>
          <w:rFonts w:ascii="Garamond" w:hAnsi="Garamond"/>
          <w:sz w:val="22"/>
          <w:szCs w:val="22"/>
        </w:rPr>
        <w:t>.</w:t>
      </w:r>
    </w:p>
    <w:p w14:paraId="272E83C9" w14:textId="77777777" w:rsidR="005B51FD" w:rsidRPr="00C068B1" w:rsidRDefault="005B51FD" w:rsidP="005B51FD">
      <w:pPr>
        <w:pStyle w:val="Maintext"/>
        <w:suppressAutoHyphens w:val="0"/>
        <w:rPr>
          <w:rFonts w:ascii="Garamond" w:hAnsi="Garamond"/>
          <w:sz w:val="22"/>
          <w:szCs w:val="22"/>
        </w:rPr>
      </w:pPr>
      <w:r w:rsidRPr="00C068B1">
        <w:rPr>
          <w:rFonts w:ascii="Garamond" w:hAnsi="Garamond"/>
          <w:sz w:val="22"/>
          <w:szCs w:val="22"/>
        </w:rPr>
        <w:t>Please note that the first line of text that follows a Subsection</w:t>
      </w:r>
      <w:r w:rsidRPr="00C068B1">
        <w:rPr>
          <w:rFonts w:ascii="Garamond" w:hAnsi="Garamond"/>
          <w:sz w:val="22"/>
          <w:szCs w:val="22"/>
          <w:vertAlign w:val="superscript"/>
        </w:rPr>
        <w:t>4</w:t>
      </w:r>
      <w:r w:rsidRPr="00C068B1">
        <w:rPr>
          <w:rFonts w:ascii="Garamond" w:hAnsi="Garamond"/>
          <w:sz w:val="22"/>
          <w:szCs w:val="22"/>
        </w:rPr>
        <w:t xml:space="preserve"> heading is not indented, whereas the first lines of all subsequent paragraphs are.</w:t>
      </w:r>
    </w:p>
    <w:p w14:paraId="3E8281FF" w14:textId="77777777" w:rsidR="005B51FD" w:rsidRPr="00C068B1" w:rsidRDefault="005B51FD" w:rsidP="005B51FD">
      <w:pPr>
        <w:pStyle w:val="Maintext"/>
        <w:suppressAutoHyphens w:val="0"/>
        <w:rPr>
          <w:rFonts w:ascii="Garamond" w:hAnsi="Garamond"/>
          <w:sz w:val="22"/>
          <w:szCs w:val="22"/>
        </w:rPr>
      </w:pPr>
      <w:r w:rsidRPr="00C068B1">
        <w:rPr>
          <w:rFonts w:ascii="Garamond" w:hAnsi="Garamond"/>
          <w:sz w:val="22"/>
          <w:szCs w:val="22"/>
        </w:rPr>
        <w:t>Please note that the first line of text that follows a Subsection heading is not indented, whereas the first lines of all subsequent paragraphs are.</w:t>
      </w:r>
    </w:p>
    <w:p w14:paraId="2FC1F485" w14:textId="77777777" w:rsidR="005B51FD" w:rsidRPr="00C068B1" w:rsidRDefault="005B51FD" w:rsidP="005B51FD">
      <w:pPr>
        <w:spacing w:before="240"/>
        <w:rPr>
          <w:rFonts w:ascii="Calibri" w:hAnsi="Calibri"/>
          <w:b/>
          <w:sz w:val="20"/>
          <w:szCs w:val="20"/>
          <w:lang w:val="en-GB"/>
        </w:rPr>
      </w:pPr>
      <w:r w:rsidRPr="00C068B1">
        <w:rPr>
          <w:rFonts w:ascii="Calibri" w:hAnsi="Calibri"/>
          <w:b/>
          <w:sz w:val="20"/>
          <w:szCs w:val="20"/>
          <w:lang w:val="en-GB"/>
        </w:rPr>
        <w:t>2. Titolo paragrafo</w:t>
      </w:r>
    </w:p>
    <w:p w14:paraId="3ECE66D6" w14:textId="77777777" w:rsidR="005B51FD" w:rsidRPr="00C068B1" w:rsidRDefault="005B51FD" w:rsidP="005B51FD">
      <w:pPr>
        <w:pStyle w:val="Maintextfirstline"/>
        <w:suppressAutoHyphens w:val="0"/>
        <w:rPr>
          <w:rFonts w:ascii="Garamond" w:hAnsi="Garamond"/>
          <w:sz w:val="22"/>
          <w:szCs w:val="22"/>
        </w:rPr>
      </w:pPr>
      <w:r w:rsidRPr="00C068B1">
        <w:rPr>
          <w:rFonts w:ascii="Garamond" w:hAnsi="Garamond"/>
          <w:sz w:val="22"/>
          <w:szCs w:val="22"/>
        </w:rPr>
        <w:t>Use this like a template.</w:t>
      </w:r>
    </w:p>
    <w:p w14:paraId="0F4BF563" w14:textId="77777777" w:rsidR="005B51FD" w:rsidRPr="00C068B1" w:rsidRDefault="005B51FD" w:rsidP="005B51FD">
      <w:pPr>
        <w:pStyle w:val="Maintext"/>
        <w:suppressAutoHyphens w:val="0"/>
        <w:ind w:firstLine="284"/>
        <w:rPr>
          <w:rFonts w:ascii="Garamond" w:hAnsi="Garamond"/>
          <w:sz w:val="22"/>
          <w:szCs w:val="22"/>
        </w:rPr>
      </w:pPr>
      <w:r w:rsidRPr="00C068B1">
        <w:rPr>
          <w:rFonts w:ascii="Garamond" w:hAnsi="Garamond"/>
          <w:sz w:val="22"/>
          <w:szCs w:val="22"/>
        </w:rPr>
        <w:t>Instead of simply listing Section headings of different levels we recommend to let every heading be followed by at least a short passage of text</w:t>
      </w:r>
      <w:r w:rsidRPr="00C068B1">
        <w:rPr>
          <w:rFonts w:ascii="Garamond" w:hAnsi="Garamond"/>
          <w:sz w:val="22"/>
          <w:szCs w:val="22"/>
          <w:vertAlign w:val="superscript"/>
        </w:rPr>
        <w:t>5</w:t>
      </w:r>
      <w:r w:rsidRPr="00C068B1">
        <w:rPr>
          <w:rFonts w:ascii="Garamond" w:hAnsi="Garamond"/>
          <w:sz w:val="22"/>
          <w:szCs w:val="22"/>
        </w:rPr>
        <w:t xml:space="preserve">. Please note </w:t>
      </w:r>
      <w:r w:rsidRPr="00C068B1">
        <w:rPr>
          <w:rFonts w:ascii="Garamond" w:hAnsi="Garamond"/>
          <w:sz w:val="22"/>
          <w:szCs w:val="22"/>
        </w:rPr>
        <w:lastRenderedPageBreak/>
        <w:t>that the first line of text that follows a Section heading is not indented, whereas the first lines of all subsequent paragraphs are</w:t>
      </w:r>
      <w:r w:rsidRPr="00C068B1">
        <w:rPr>
          <w:rFonts w:ascii="Garamond" w:hAnsi="Garamond"/>
          <w:sz w:val="22"/>
          <w:szCs w:val="22"/>
          <w:vertAlign w:val="superscript"/>
        </w:rPr>
        <w:t>6</w:t>
      </w:r>
      <w:r w:rsidRPr="00C068B1">
        <w:rPr>
          <w:rFonts w:ascii="Garamond" w:hAnsi="Garamond"/>
          <w:sz w:val="22"/>
          <w:szCs w:val="22"/>
        </w:rPr>
        <w:t>.</w:t>
      </w:r>
    </w:p>
    <w:p w14:paraId="7011A20A" w14:textId="77777777" w:rsidR="005B51FD" w:rsidRPr="00A16D17" w:rsidRDefault="005B51FD" w:rsidP="005B51FD">
      <w:pPr>
        <w:widowControl w:val="0"/>
        <w:suppressAutoHyphens/>
        <w:autoSpaceDE w:val="0"/>
        <w:spacing w:before="240" w:after="120"/>
        <w:jc w:val="both"/>
        <w:rPr>
          <w:rFonts w:ascii="Garamond" w:hAnsi="Garamond"/>
          <w:sz w:val="22"/>
          <w:szCs w:val="22"/>
        </w:rPr>
      </w:pPr>
      <w:r w:rsidRPr="00C068B1">
        <w:rPr>
          <w:rFonts w:ascii="Garamond" w:hAnsi="Garamond"/>
          <w:sz w:val="22"/>
          <w:szCs w:val="22"/>
          <w:lang w:val="en-GB"/>
        </w:rPr>
        <w:t xml:space="preserve">Tab. </w:t>
      </w:r>
      <w:r w:rsidRPr="00A16D17">
        <w:rPr>
          <w:rFonts w:ascii="Garamond" w:hAnsi="Garamond"/>
          <w:sz w:val="22"/>
          <w:szCs w:val="22"/>
        </w:rPr>
        <w:t xml:space="preserve">1. </w:t>
      </w:r>
      <w:r w:rsidRPr="00A16D17">
        <w:rPr>
          <w:rFonts w:ascii="Garamond" w:hAnsi="Garamond"/>
          <w:i/>
          <w:sz w:val="22"/>
          <w:szCs w:val="22"/>
        </w:rPr>
        <w:t>Discendenza totale (nate prima del 1912) e parziale (nate dopo il 1911) delle donne coniugate censite al 1961. Italia e Sardegna</w:t>
      </w:r>
    </w:p>
    <w:tbl>
      <w:tblPr>
        <w:tblW w:w="6918" w:type="dxa"/>
        <w:jc w:val="center"/>
        <w:tblInd w:w="184" w:type="dxa"/>
        <w:tblLayout w:type="fixed"/>
        <w:tblCellMar>
          <w:left w:w="70" w:type="dxa"/>
          <w:right w:w="70" w:type="dxa"/>
        </w:tblCellMar>
        <w:tblLook w:val="0000" w:firstRow="0" w:lastRow="0" w:firstColumn="0" w:lastColumn="0" w:noHBand="0" w:noVBand="0"/>
      </w:tblPr>
      <w:tblGrid>
        <w:gridCol w:w="1620"/>
        <w:gridCol w:w="1260"/>
        <w:gridCol w:w="1260"/>
        <w:gridCol w:w="1260"/>
        <w:gridCol w:w="1518"/>
      </w:tblGrid>
      <w:tr w:rsidR="005B51FD" w:rsidRPr="00957111" w14:paraId="41765F66" w14:textId="77777777" w:rsidTr="00D4274C">
        <w:trPr>
          <w:trHeight w:hRule="exact" w:val="255"/>
          <w:jc w:val="center"/>
        </w:trPr>
        <w:tc>
          <w:tcPr>
            <w:tcW w:w="1620" w:type="dxa"/>
            <w:tcBorders>
              <w:top w:val="single" w:sz="4" w:space="0" w:color="000000"/>
              <w:bottom w:val="single" w:sz="4" w:space="0" w:color="000000"/>
            </w:tcBorders>
            <w:shd w:val="clear" w:color="auto" w:fill="auto"/>
            <w:vAlign w:val="center"/>
          </w:tcPr>
          <w:p w14:paraId="6F8259FB" w14:textId="77777777" w:rsidR="005B51FD" w:rsidRPr="00957111" w:rsidRDefault="005B51FD" w:rsidP="00D4274C">
            <w:pPr>
              <w:widowControl w:val="0"/>
              <w:suppressAutoHyphens/>
              <w:rPr>
                <w:rFonts w:ascii="Garamond" w:hAnsi="Garamond"/>
                <w:sz w:val="20"/>
                <w:szCs w:val="20"/>
              </w:rPr>
            </w:pPr>
            <w:r w:rsidRPr="00957111">
              <w:rPr>
                <w:rFonts w:ascii="Garamond" w:hAnsi="Garamond"/>
                <w:sz w:val="20"/>
                <w:szCs w:val="20"/>
              </w:rPr>
              <w:t>Anno di nascita</w:t>
            </w:r>
          </w:p>
        </w:tc>
        <w:tc>
          <w:tcPr>
            <w:tcW w:w="1260" w:type="dxa"/>
            <w:tcBorders>
              <w:top w:val="single" w:sz="4" w:space="0" w:color="000000"/>
              <w:bottom w:val="single" w:sz="4" w:space="0" w:color="000000"/>
            </w:tcBorders>
          </w:tcPr>
          <w:p w14:paraId="76C2F83A" w14:textId="77777777" w:rsidR="005B51FD" w:rsidRPr="00957111" w:rsidRDefault="005B51FD" w:rsidP="00D4274C">
            <w:pPr>
              <w:widowControl w:val="0"/>
              <w:suppressAutoHyphens/>
              <w:jc w:val="center"/>
              <w:rPr>
                <w:rFonts w:ascii="Garamond" w:hAnsi="Garamond"/>
                <w:sz w:val="20"/>
                <w:szCs w:val="20"/>
              </w:rPr>
            </w:pPr>
            <w:r w:rsidRPr="00957111">
              <w:rPr>
                <w:rFonts w:ascii="Garamond" w:hAnsi="Garamond"/>
                <w:sz w:val="20"/>
                <w:szCs w:val="20"/>
              </w:rPr>
              <w:t>Età</w:t>
            </w:r>
          </w:p>
        </w:tc>
        <w:tc>
          <w:tcPr>
            <w:tcW w:w="1260" w:type="dxa"/>
            <w:tcBorders>
              <w:top w:val="single" w:sz="4" w:space="0" w:color="000000"/>
              <w:bottom w:val="single" w:sz="4" w:space="0" w:color="000000"/>
            </w:tcBorders>
            <w:shd w:val="clear" w:color="auto" w:fill="auto"/>
            <w:vAlign w:val="center"/>
          </w:tcPr>
          <w:p w14:paraId="30B9C7A0" w14:textId="77777777" w:rsidR="005B51FD" w:rsidRPr="00957111" w:rsidRDefault="005B51FD" w:rsidP="00D4274C">
            <w:pPr>
              <w:widowControl w:val="0"/>
              <w:suppressAutoHyphens/>
              <w:jc w:val="center"/>
              <w:rPr>
                <w:rFonts w:ascii="Garamond" w:hAnsi="Garamond"/>
                <w:sz w:val="20"/>
                <w:szCs w:val="20"/>
              </w:rPr>
            </w:pPr>
            <w:r w:rsidRPr="00957111">
              <w:rPr>
                <w:rFonts w:ascii="Garamond" w:hAnsi="Garamond"/>
                <w:sz w:val="20"/>
                <w:szCs w:val="20"/>
              </w:rPr>
              <w:t>Italia</w:t>
            </w:r>
          </w:p>
        </w:tc>
        <w:tc>
          <w:tcPr>
            <w:tcW w:w="1260" w:type="dxa"/>
            <w:tcBorders>
              <w:top w:val="single" w:sz="4" w:space="0" w:color="000000"/>
              <w:bottom w:val="single" w:sz="4" w:space="0" w:color="000000"/>
            </w:tcBorders>
            <w:shd w:val="clear" w:color="auto" w:fill="auto"/>
            <w:vAlign w:val="center"/>
          </w:tcPr>
          <w:p w14:paraId="622C1705" w14:textId="77777777" w:rsidR="005B51FD" w:rsidRPr="00957111" w:rsidRDefault="005B51FD" w:rsidP="00D4274C">
            <w:pPr>
              <w:widowControl w:val="0"/>
              <w:suppressAutoHyphens/>
              <w:jc w:val="center"/>
              <w:rPr>
                <w:rFonts w:ascii="Garamond" w:hAnsi="Garamond"/>
                <w:sz w:val="20"/>
                <w:szCs w:val="20"/>
              </w:rPr>
            </w:pPr>
            <w:r w:rsidRPr="00957111">
              <w:rPr>
                <w:rFonts w:ascii="Garamond" w:hAnsi="Garamond"/>
                <w:sz w:val="20"/>
                <w:szCs w:val="20"/>
              </w:rPr>
              <w:t>Sardegna</w:t>
            </w:r>
          </w:p>
        </w:tc>
        <w:tc>
          <w:tcPr>
            <w:tcW w:w="1518" w:type="dxa"/>
            <w:tcBorders>
              <w:top w:val="single" w:sz="4" w:space="0" w:color="000000"/>
              <w:bottom w:val="single" w:sz="4" w:space="0" w:color="000000"/>
            </w:tcBorders>
            <w:shd w:val="clear" w:color="auto" w:fill="auto"/>
            <w:vAlign w:val="center"/>
          </w:tcPr>
          <w:p w14:paraId="507C091C" w14:textId="77777777" w:rsidR="005B51FD" w:rsidRPr="00957111" w:rsidRDefault="005B51FD" w:rsidP="00D4274C">
            <w:pPr>
              <w:widowControl w:val="0"/>
              <w:suppressAutoHyphens/>
              <w:jc w:val="center"/>
              <w:rPr>
                <w:rFonts w:ascii="Garamond" w:hAnsi="Garamond"/>
                <w:sz w:val="20"/>
                <w:szCs w:val="20"/>
              </w:rPr>
            </w:pPr>
            <w:r w:rsidRPr="00957111">
              <w:rPr>
                <w:rFonts w:ascii="Garamond" w:hAnsi="Garamond"/>
                <w:sz w:val="20"/>
                <w:szCs w:val="20"/>
              </w:rPr>
              <w:t>Sardegna/Italia</w:t>
            </w:r>
          </w:p>
        </w:tc>
      </w:tr>
      <w:tr w:rsidR="005B51FD" w:rsidRPr="00957111" w14:paraId="7F9ECF65" w14:textId="77777777" w:rsidTr="00D4274C">
        <w:trPr>
          <w:trHeight w:hRule="exact" w:val="255"/>
          <w:jc w:val="center"/>
        </w:trPr>
        <w:tc>
          <w:tcPr>
            <w:tcW w:w="1620" w:type="dxa"/>
            <w:tcBorders>
              <w:top w:val="single" w:sz="4" w:space="0" w:color="000000"/>
            </w:tcBorders>
            <w:shd w:val="clear" w:color="auto" w:fill="auto"/>
            <w:vAlign w:val="center"/>
          </w:tcPr>
          <w:p w14:paraId="753698EE" w14:textId="77777777" w:rsidR="005B51FD" w:rsidRPr="00957111" w:rsidRDefault="005B51FD" w:rsidP="00D4274C">
            <w:pPr>
              <w:widowControl w:val="0"/>
              <w:suppressAutoHyphens/>
              <w:rPr>
                <w:rFonts w:ascii="Garamond" w:hAnsi="Garamond"/>
                <w:sz w:val="20"/>
                <w:szCs w:val="20"/>
              </w:rPr>
            </w:pPr>
            <w:r w:rsidRPr="00957111">
              <w:rPr>
                <w:rFonts w:ascii="Garamond" w:hAnsi="Garamond"/>
                <w:sz w:val="20"/>
                <w:szCs w:val="20"/>
              </w:rPr>
              <w:t>fino al 1886</w:t>
            </w:r>
          </w:p>
        </w:tc>
        <w:tc>
          <w:tcPr>
            <w:tcW w:w="1260" w:type="dxa"/>
            <w:tcBorders>
              <w:top w:val="single" w:sz="4" w:space="0" w:color="000000"/>
            </w:tcBorders>
          </w:tcPr>
          <w:p w14:paraId="4A95CA3C" w14:textId="77777777" w:rsidR="005B51FD" w:rsidRPr="00957111" w:rsidRDefault="005B51FD" w:rsidP="00D4274C">
            <w:pPr>
              <w:widowControl w:val="0"/>
              <w:suppressAutoHyphens/>
              <w:jc w:val="center"/>
              <w:rPr>
                <w:rFonts w:ascii="Garamond" w:hAnsi="Garamond"/>
                <w:sz w:val="20"/>
                <w:szCs w:val="20"/>
              </w:rPr>
            </w:pPr>
            <w:r w:rsidRPr="00957111">
              <w:rPr>
                <w:rFonts w:ascii="Garamond" w:hAnsi="Garamond"/>
                <w:sz w:val="20"/>
                <w:szCs w:val="20"/>
              </w:rPr>
              <w:t>&gt; 74</w:t>
            </w:r>
          </w:p>
        </w:tc>
        <w:tc>
          <w:tcPr>
            <w:tcW w:w="1260" w:type="dxa"/>
            <w:tcBorders>
              <w:top w:val="single" w:sz="4" w:space="0" w:color="000000"/>
            </w:tcBorders>
            <w:shd w:val="clear" w:color="auto" w:fill="auto"/>
            <w:vAlign w:val="center"/>
          </w:tcPr>
          <w:p w14:paraId="6F7C4FAA" w14:textId="77777777" w:rsidR="005B51FD" w:rsidRPr="00957111" w:rsidRDefault="005B51FD" w:rsidP="00D4274C">
            <w:pPr>
              <w:widowControl w:val="0"/>
              <w:suppressAutoHyphens/>
              <w:jc w:val="center"/>
              <w:rPr>
                <w:rFonts w:ascii="Garamond" w:hAnsi="Garamond"/>
                <w:sz w:val="20"/>
                <w:szCs w:val="20"/>
              </w:rPr>
            </w:pPr>
            <w:r w:rsidRPr="00957111">
              <w:rPr>
                <w:rFonts w:ascii="Garamond" w:hAnsi="Garamond"/>
                <w:sz w:val="20"/>
                <w:szCs w:val="20"/>
              </w:rPr>
              <w:t>4,4</w:t>
            </w:r>
          </w:p>
        </w:tc>
        <w:tc>
          <w:tcPr>
            <w:tcW w:w="1260" w:type="dxa"/>
            <w:tcBorders>
              <w:top w:val="single" w:sz="4" w:space="0" w:color="000000"/>
            </w:tcBorders>
            <w:shd w:val="clear" w:color="auto" w:fill="auto"/>
            <w:vAlign w:val="center"/>
          </w:tcPr>
          <w:p w14:paraId="0F090DDE" w14:textId="77777777" w:rsidR="005B51FD" w:rsidRPr="00957111" w:rsidRDefault="005B51FD" w:rsidP="00D4274C">
            <w:pPr>
              <w:widowControl w:val="0"/>
              <w:suppressAutoHyphens/>
              <w:jc w:val="center"/>
              <w:rPr>
                <w:rFonts w:ascii="Garamond" w:hAnsi="Garamond"/>
                <w:sz w:val="20"/>
                <w:szCs w:val="20"/>
              </w:rPr>
            </w:pPr>
            <w:r w:rsidRPr="00957111">
              <w:rPr>
                <w:rFonts w:ascii="Garamond" w:hAnsi="Garamond"/>
                <w:sz w:val="20"/>
                <w:szCs w:val="20"/>
              </w:rPr>
              <w:t>4,8</w:t>
            </w:r>
          </w:p>
        </w:tc>
        <w:tc>
          <w:tcPr>
            <w:tcW w:w="1518" w:type="dxa"/>
            <w:tcBorders>
              <w:top w:val="single" w:sz="4" w:space="0" w:color="000000"/>
            </w:tcBorders>
            <w:shd w:val="clear" w:color="auto" w:fill="auto"/>
            <w:vAlign w:val="center"/>
          </w:tcPr>
          <w:p w14:paraId="6965C0B5" w14:textId="77777777" w:rsidR="005B51FD" w:rsidRPr="00957111" w:rsidRDefault="005B51FD" w:rsidP="00D4274C">
            <w:pPr>
              <w:widowControl w:val="0"/>
              <w:suppressAutoHyphens/>
              <w:jc w:val="center"/>
              <w:rPr>
                <w:rFonts w:ascii="Garamond" w:hAnsi="Garamond"/>
                <w:sz w:val="20"/>
                <w:szCs w:val="20"/>
              </w:rPr>
            </w:pPr>
            <w:r w:rsidRPr="00957111">
              <w:rPr>
                <w:rFonts w:ascii="Garamond" w:hAnsi="Garamond"/>
                <w:sz w:val="20"/>
                <w:szCs w:val="20"/>
              </w:rPr>
              <w:t>1,09</w:t>
            </w:r>
          </w:p>
        </w:tc>
      </w:tr>
      <w:tr w:rsidR="005B51FD" w:rsidRPr="00957111" w14:paraId="17C064B4" w14:textId="77777777" w:rsidTr="00D4274C">
        <w:trPr>
          <w:trHeight w:hRule="exact" w:val="255"/>
          <w:jc w:val="center"/>
        </w:trPr>
        <w:tc>
          <w:tcPr>
            <w:tcW w:w="1620" w:type="dxa"/>
            <w:shd w:val="clear" w:color="auto" w:fill="auto"/>
            <w:vAlign w:val="center"/>
          </w:tcPr>
          <w:p w14:paraId="0A874843" w14:textId="77777777" w:rsidR="005B51FD" w:rsidRPr="00957111" w:rsidRDefault="005B51FD" w:rsidP="00D4274C">
            <w:pPr>
              <w:widowControl w:val="0"/>
              <w:suppressAutoHyphens/>
              <w:rPr>
                <w:rFonts w:ascii="Garamond" w:hAnsi="Garamond"/>
                <w:sz w:val="20"/>
                <w:szCs w:val="20"/>
              </w:rPr>
            </w:pPr>
            <w:r w:rsidRPr="00957111">
              <w:rPr>
                <w:rFonts w:ascii="Garamond" w:hAnsi="Garamond"/>
                <w:sz w:val="20"/>
                <w:szCs w:val="20"/>
              </w:rPr>
              <w:t>1887-1891</w:t>
            </w:r>
          </w:p>
        </w:tc>
        <w:tc>
          <w:tcPr>
            <w:tcW w:w="1260" w:type="dxa"/>
          </w:tcPr>
          <w:p w14:paraId="02EBDB7B" w14:textId="77777777" w:rsidR="005B51FD" w:rsidRPr="00957111" w:rsidRDefault="005B51FD" w:rsidP="00D4274C">
            <w:pPr>
              <w:widowControl w:val="0"/>
              <w:suppressAutoHyphens/>
              <w:jc w:val="center"/>
              <w:rPr>
                <w:rFonts w:ascii="Garamond" w:hAnsi="Garamond"/>
                <w:sz w:val="20"/>
                <w:szCs w:val="20"/>
              </w:rPr>
            </w:pPr>
            <w:r w:rsidRPr="00957111">
              <w:rPr>
                <w:rFonts w:ascii="Garamond" w:hAnsi="Garamond"/>
                <w:sz w:val="20"/>
                <w:szCs w:val="20"/>
              </w:rPr>
              <w:t>70-74</w:t>
            </w:r>
          </w:p>
        </w:tc>
        <w:tc>
          <w:tcPr>
            <w:tcW w:w="1260" w:type="dxa"/>
            <w:shd w:val="clear" w:color="auto" w:fill="auto"/>
            <w:vAlign w:val="center"/>
          </w:tcPr>
          <w:p w14:paraId="2D4FA672" w14:textId="77777777" w:rsidR="005B51FD" w:rsidRPr="00957111" w:rsidRDefault="005B51FD" w:rsidP="00D4274C">
            <w:pPr>
              <w:widowControl w:val="0"/>
              <w:suppressAutoHyphens/>
              <w:jc w:val="center"/>
              <w:rPr>
                <w:rFonts w:ascii="Garamond" w:hAnsi="Garamond"/>
                <w:sz w:val="20"/>
                <w:szCs w:val="20"/>
              </w:rPr>
            </w:pPr>
            <w:r w:rsidRPr="00957111">
              <w:rPr>
                <w:rFonts w:ascii="Garamond" w:hAnsi="Garamond"/>
                <w:sz w:val="20"/>
                <w:szCs w:val="20"/>
              </w:rPr>
              <w:t>4,2</w:t>
            </w:r>
          </w:p>
        </w:tc>
        <w:tc>
          <w:tcPr>
            <w:tcW w:w="1260" w:type="dxa"/>
            <w:shd w:val="clear" w:color="auto" w:fill="auto"/>
            <w:vAlign w:val="center"/>
          </w:tcPr>
          <w:p w14:paraId="63B1360F" w14:textId="77777777" w:rsidR="005B51FD" w:rsidRPr="00957111" w:rsidRDefault="005B51FD" w:rsidP="00D4274C">
            <w:pPr>
              <w:widowControl w:val="0"/>
              <w:suppressAutoHyphens/>
              <w:jc w:val="center"/>
              <w:rPr>
                <w:rFonts w:ascii="Garamond" w:hAnsi="Garamond"/>
                <w:sz w:val="20"/>
                <w:szCs w:val="20"/>
              </w:rPr>
            </w:pPr>
            <w:r w:rsidRPr="00957111">
              <w:rPr>
                <w:rFonts w:ascii="Garamond" w:hAnsi="Garamond"/>
                <w:sz w:val="20"/>
                <w:szCs w:val="20"/>
              </w:rPr>
              <w:t>5,0</w:t>
            </w:r>
          </w:p>
        </w:tc>
        <w:tc>
          <w:tcPr>
            <w:tcW w:w="1518" w:type="dxa"/>
            <w:shd w:val="clear" w:color="auto" w:fill="auto"/>
            <w:vAlign w:val="center"/>
          </w:tcPr>
          <w:p w14:paraId="2073DBB5" w14:textId="77777777" w:rsidR="005B51FD" w:rsidRPr="00957111" w:rsidRDefault="005B51FD" w:rsidP="00D4274C">
            <w:pPr>
              <w:widowControl w:val="0"/>
              <w:suppressAutoHyphens/>
              <w:jc w:val="center"/>
              <w:rPr>
                <w:rFonts w:ascii="Garamond" w:hAnsi="Garamond"/>
                <w:sz w:val="20"/>
                <w:szCs w:val="20"/>
              </w:rPr>
            </w:pPr>
            <w:r w:rsidRPr="00957111">
              <w:rPr>
                <w:rFonts w:ascii="Garamond" w:hAnsi="Garamond"/>
                <w:sz w:val="20"/>
                <w:szCs w:val="20"/>
              </w:rPr>
              <w:t>1,19</w:t>
            </w:r>
          </w:p>
        </w:tc>
      </w:tr>
      <w:tr w:rsidR="005B51FD" w:rsidRPr="00957111" w14:paraId="37C0551B" w14:textId="77777777" w:rsidTr="00D4274C">
        <w:trPr>
          <w:trHeight w:hRule="exact" w:val="255"/>
          <w:jc w:val="center"/>
        </w:trPr>
        <w:tc>
          <w:tcPr>
            <w:tcW w:w="1620" w:type="dxa"/>
            <w:shd w:val="clear" w:color="auto" w:fill="auto"/>
            <w:vAlign w:val="center"/>
          </w:tcPr>
          <w:p w14:paraId="4AE41ED6" w14:textId="77777777" w:rsidR="005B51FD" w:rsidRPr="00957111" w:rsidRDefault="005B51FD" w:rsidP="00D4274C">
            <w:pPr>
              <w:widowControl w:val="0"/>
              <w:suppressAutoHyphens/>
              <w:rPr>
                <w:rFonts w:ascii="Garamond" w:hAnsi="Garamond"/>
                <w:sz w:val="20"/>
                <w:szCs w:val="20"/>
              </w:rPr>
            </w:pPr>
            <w:r w:rsidRPr="00957111">
              <w:rPr>
                <w:rFonts w:ascii="Garamond" w:hAnsi="Garamond"/>
                <w:sz w:val="20"/>
                <w:szCs w:val="20"/>
              </w:rPr>
              <w:t>1892-1896</w:t>
            </w:r>
          </w:p>
        </w:tc>
        <w:tc>
          <w:tcPr>
            <w:tcW w:w="1260" w:type="dxa"/>
          </w:tcPr>
          <w:p w14:paraId="2C7FE297" w14:textId="77777777" w:rsidR="005B51FD" w:rsidRPr="00957111" w:rsidRDefault="005B51FD" w:rsidP="00D4274C">
            <w:pPr>
              <w:widowControl w:val="0"/>
              <w:suppressAutoHyphens/>
              <w:jc w:val="center"/>
              <w:rPr>
                <w:rFonts w:ascii="Garamond" w:hAnsi="Garamond"/>
                <w:sz w:val="20"/>
                <w:szCs w:val="20"/>
              </w:rPr>
            </w:pPr>
            <w:r w:rsidRPr="00957111">
              <w:rPr>
                <w:rFonts w:ascii="Garamond" w:hAnsi="Garamond"/>
                <w:sz w:val="20"/>
                <w:szCs w:val="20"/>
              </w:rPr>
              <w:t>65-69</w:t>
            </w:r>
          </w:p>
        </w:tc>
        <w:tc>
          <w:tcPr>
            <w:tcW w:w="1260" w:type="dxa"/>
            <w:shd w:val="clear" w:color="auto" w:fill="auto"/>
            <w:vAlign w:val="center"/>
          </w:tcPr>
          <w:p w14:paraId="41249572" w14:textId="77777777" w:rsidR="005B51FD" w:rsidRPr="00957111" w:rsidRDefault="005B51FD" w:rsidP="00D4274C">
            <w:pPr>
              <w:widowControl w:val="0"/>
              <w:suppressAutoHyphens/>
              <w:jc w:val="center"/>
              <w:rPr>
                <w:rFonts w:ascii="Garamond" w:hAnsi="Garamond"/>
                <w:sz w:val="20"/>
                <w:szCs w:val="20"/>
              </w:rPr>
            </w:pPr>
            <w:r w:rsidRPr="00957111">
              <w:rPr>
                <w:rFonts w:ascii="Garamond" w:hAnsi="Garamond"/>
                <w:sz w:val="20"/>
                <w:szCs w:val="20"/>
              </w:rPr>
              <w:t>3,8</w:t>
            </w:r>
          </w:p>
        </w:tc>
        <w:tc>
          <w:tcPr>
            <w:tcW w:w="1260" w:type="dxa"/>
            <w:shd w:val="clear" w:color="auto" w:fill="auto"/>
            <w:vAlign w:val="center"/>
          </w:tcPr>
          <w:p w14:paraId="3386010B" w14:textId="77777777" w:rsidR="005B51FD" w:rsidRPr="00957111" w:rsidRDefault="005B51FD" w:rsidP="00D4274C">
            <w:pPr>
              <w:widowControl w:val="0"/>
              <w:suppressAutoHyphens/>
              <w:jc w:val="center"/>
              <w:rPr>
                <w:rFonts w:ascii="Garamond" w:hAnsi="Garamond"/>
                <w:sz w:val="20"/>
                <w:szCs w:val="20"/>
              </w:rPr>
            </w:pPr>
            <w:r w:rsidRPr="00957111">
              <w:rPr>
                <w:rFonts w:ascii="Garamond" w:hAnsi="Garamond"/>
                <w:sz w:val="20"/>
                <w:szCs w:val="20"/>
              </w:rPr>
              <w:t>5,1</w:t>
            </w:r>
          </w:p>
        </w:tc>
        <w:tc>
          <w:tcPr>
            <w:tcW w:w="1518" w:type="dxa"/>
            <w:shd w:val="clear" w:color="auto" w:fill="auto"/>
            <w:vAlign w:val="center"/>
          </w:tcPr>
          <w:p w14:paraId="36E2D98A" w14:textId="77777777" w:rsidR="005B51FD" w:rsidRPr="00957111" w:rsidRDefault="005B51FD" w:rsidP="00D4274C">
            <w:pPr>
              <w:widowControl w:val="0"/>
              <w:suppressAutoHyphens/>
              <w:jc w:val="center"/>
              <w:rPr>
                <w:rFonts w:ascii="Garamond" w:hAnsi="Garamond"/>
                <w:sz w:val="20"/>
                <w:szCs w:val="20"/>
              </w:rPr>
            </w:pPr>
            <w:r w:rsidRPr="00957111">
              <w:rPr>
                <w:rFonts w:ascii="Garamond" w:hAnsi="Garamond"/>
                <w:sz w:val="20"/>
                <w:szCs w:val="20"/>
              </w:rPr>
              <w:t>1,34</w:t>
            </w:r>
          </w:p>
        </w:tc>
      </w:tr>
      <w:tr w:rsidR="005B51FD" w:rsidRPr="00957111" w14:paraId="27009C59" w14:textId="77777777" w:rsidTr="00D4274C">
        <w:trPr>
          <w:trHeight w:hRule="exact" w:val="255"/>
          <w:jc w:val="center"/>
        </w:trPr>
        <w:tc>
          <w:tcPr>
            <w:tcW w:w="1620" w:type="dxa"/>
            <w:shd w:val="clear" w:color="auto" w:fill="auto"/>
            <w:vAlign w:val="center"/>
          </w:tcPr>
          <w:p w14:paraId="688DBBB5" w14:textId="77777777" w:rsidR="005B51FD" w:rsidRPr="00957111" w:rsidRDefault="005B51FD" w:rsidP="00D4274C">
            <w:pPr>
              <w:widowControl w:val="0"/>
              <w:suppressAutoHyphens/>
              <w:rPr>
                <w:rFonts w:ascii="Garamond" w:hAnsi="Garamond"/>
                <w:sz w:val="20"/>
                <w:szCs w:val="20"/>
              </w:rPr>
            </w:pPr>
            <w:r w:rsidRPr="00957111">
              <w:rPr>
                <w:rFonts w:ascii="Garamond" w:hAnsi="Garamond"/>
                <w:sz w:val="20"/>
                <w:szCs w:val="20"/>
              </w:rPr>
              <w:t>1897-1901</w:t>
            </w:r>
          </w:p>
        </w:tc>
        <w:tc>
          <w:tcPr>
            <w:tcW w:w="1260" w:type="dxa"/>
          </w:tcPr>
          <w:p w14:paraId="2066F2DC" w14:textId="77777777" w:rsidR="005B51FD" w:rsidRPr="00957111" w:rsidRDefault="005B51FD" w:rsidP="00D4274C">
            <w:pPr>
              <w:widowControl w:val="0"/>
              <w:suppressAutoHyphens/>
              <w:jc w:val="center"/>
              <w:rPr>
                <w:rFonts w:ascii="Garamond" w:hAnsi="Garamond"/>
                <w:sz w:val="20"/>
                <w:szCs w:val="20"/>
              </w:rPr>
            </w:pPr>
            <w:r w:rsidRPr="00957111">
              <w:rPr>
                <w:rFonts w:ascii="Garamond" w:hAnsi="Garamond"/>
                <w:sz w:val="20"/>
                <w:szCs w:val="20"/>
              </w:rPr>
              <w:t>60-64</w:t>
            </w:r>
          </w:p>
        </w:tc>
        <w:tc>
          <w:tcPr>
            <w:tcW w:w="1260" w:type="dxa"/>
            <w:shd w:val="clear" w:color="auto" w:fill="auto"/>
            <w:vAlign w:val="center"/>
          </w:tcPr>
          <w:p w14:paraId="287FAF2D" w14:textId="77777777" w:rsidR="005B51FD" w:rsidRPr="00957111" w:rsidRDefault="005B51FD" w:rsidP="00D4274C">
            <w:pPr>
              <w:widowControl w:val="0"/>
              <w:suppressAutoHyphens/>
              <w:jc w:val="center"/>
              <w:rPr>
                <w:rFonts w:ascii="Garamond" w:hAnsi="Garamond"/>
                <w:sz w:val="20"/>
                <w:szCs w:val="20"/>
              </w:rPr>
            </w:pPr>
            <w:r w:rsidRPr="00957111">
              <w:rPr>
                <w:rFonts w:ascii="Garamond" w:hAnsi="Garamond"/>
                <w:sz w:val="20"/>
                <w:szCs w:val="20"/>
              </w:rPr>
              <w:t>3,7</w:t>
            </w:r>
          </w:p>
        </w:tc>
        <w:tc>
          <w:tcPr>
            <w:tcW w:w="1260" w:type="dxa"/>
            <w:shd w:val="clear" w:color="auto" w:fill="auto"/>
            <w:vAlign w:val="center"/>
          </w:tcPr>
          <w:p w14:paraId="45700F3D" w14:textId="77777777" w:rsidR="005B51FD" w:rsidRPr="00957111" w:rsidRDefault="005B51FD" w:rsidP="00D4274C">
            <w:pPr>
              <w:widowControl w:val="0"/>
              <w:suppressAutoHyphens/>
              <w:jc w:val="center"/>
              <w:rPr>
                <w:rFonts w:ascii="Garamond" w:hAnsi="Garamond"/>
                <w:sz w:val="20"/>
                <w:szCs w:val="20"/>
              </w:rPr>
            </w:pPr>
            <w:r w:rsidRPr="00957111">
              <w:rPr>
                <w:rFonts w:ascii="Garamond" w:hAnsi="Garamond"/>
                <w:sz w:val="20"/>
                <w:szCs w:val="20"/>
              </w:rPr>
              <w:t>5,1</w:t>
            </w:r>
          </w:p>
        </w:tc>
        <w:tc>
          <w:tcPr>
            <w:tcW w:w="1518" w:type="dxa"/>
            <w:shd w:val="clear" w:color="auto" w:fill="auto"/>
            <w:vAlign w:val="center"/>
          </w:tcPr>
          <w:p w14:paraId="77057258" w14:textId="77777777" w:rsidR="005B51FD" w:rsidRPr="00957111" w:rsidRDefault="005B51FD" w:rsidP="00D4274C">
            <w:pPr>
              <w:widowControl w:val="0"/>
              <w:suppressAutoHyphens/>
              <w:jc w:val="center"/>
              <w:rPr>
                <w:rFonts w:ascii="Garamond" w:hAnsi="Garamond"/>
                <w:sz w:val="20"/>
                <w:szCs w:val="20"/>
              </w:rPr>
            </w:pPr>
            <w:r w:rsidRPr="00957111">
              <w:rPr>
                <w:rFonts w:ascii="Garamond" w:hAnsi="Garamond"/>
                <w:sz w:val="20"/>
                <w:szCs w:val="20"/>
              </w:rPr>
              <w:t>1,38</w:t>
            </w:r>
          </w:p>
        </w:tc>
      </w:tr>
      <w:tr w:rsidR="005B51FD" w:rsidRPr="00957111" w14:paraId="125B9B1A" w14:textId="77777777" w:rsidTr="00D4274C">
        <w:trPr>
          <w:trHeight w:hRule="exact" w:val="255"/>
          <w:jc w:val="center"/>
        </w:trPr>
        <w:tc>
          <w:tcPr>
            <w:tcW w:w="1620" w:type="dxa"/>
            <w:shd w:val="clear" w:color="auto" w:fill="auto"/>
            <w:vAlign w:val="center"/>
          </w:tcPr>
          <w:p w14:paraId="5D7AB7E7" w14:textId="77777777" w:rsidR="005B51FD" w:rsidRPr="00957111" w:rsidRDefault="005B51FD" w:rsidP="00D4274C">
            <w:pPr>
              <w:widowControl w:val="0"/>
              <w:suppressAutoHyphens/>
              <w:rPr>
                <w:rFonts w:ascii="Garamond" w:hAnsi="Garamond"/>
                <w:sz w:val="20"/>
                <w:szCs w:val="20"/>
              </w:rPr>
            </w:pPr>
            <w:r w:rsidRPr="00957111">
              <w:rPr>
                <w:rFonts w:ascii="Garamond" w:hAnsi="Garamond"/>
                <w:sz w:val="20"/>
                <w:szCs w:val="20"/>
              </w:rPr>
              <w:t>1902-1906</w:t>
            </w:r>
          </w:p>
        </w:tc>
        <w:tc>
          <w:tcPr>
            <w:tcW w:w="1260" w:type="dxa"/>
          </w:tcPr>
          <w:p w14:paraId="47EE1440" w14:textId="77777777" w:rsidR="005B51FD" w:rsidRPr="00957111" w:rsidRDefault="005B51FD" w:rsidP="00D4274C">
            <w:pPr>
              <w:widowControl w:val="0"/>
              <w:suppressAutoHyphens/>
              <w:jc w:val="center"/>
              <w:rPr>
                <w:rFonts w:ascii="Garamond" w:hAnsi="Garamond"/>
                <w:sz w:val="20"/>
                <w:szCs w:val="20"/>
              </w:rPr>
            </w:pPr>
            <w:r w:rsidRPr="00957111">
              <w:rPr>
                <w:rFonts w:ascii="Garamond" w:hAnsi="Garamond"/>
                <w:sz w:val="20"/>
                <w:szCs w:val="20"/>
              </w:rPr>
              <w:t>55-59</w:t>
            </w:r>
          </w:p>
        </w:tc>
        <w:tc>
          <w:tcPr>
            <w:tcW w:w="1260" w:type="dxa"/>
            <w:shd w:val="clear" w:color="auto" w:fill="auto"/>
            <w:vAlign w:val="center"/>
          </w:tcPr>
          <w:p w14:paraId="138BB458" w14:textId="77777777" w:rsidR="005B51FD" w:rsidRPr="00957111" w:rsidRDefault="005B51FD" w:rsidP="00D4274C">
            <w:pPr>
              <w:widowControl w:val="0"/>
              <w:suppressAutoHyphens/>
              <w:jc w:val="center"/>
              <w:rPr>
                <w:rFonts w:ascii="Garamond" w:hAnsi="Garamond"/>
                <w:sz w:val="20"/>
                <w:szCs w:val="20"/>
              </w:rPr>
            </w:pPr>
            <w:r w:rsidRPr="00957111">
              <w:rPr>
                <w:rFonts w:ascii="Garamond" w:hAnsi="Garamond"/>
                <w:sz w:val="20"/>
                <w:szCs w:val="20"/>
              </w:rPr>
              <w:t>3,6</w:t>
            </w:r>
          </w:p>
        </w:tc>
        <w:tc>
          <w:tcPr>
            <w:tcW w:w="1260" w:type="dxa"/>
            <w:shd w:val="clear" w:color="auto" w:fill="auto"/>
            <w:vAlign w:val="center"/>
          </w:tcPr>
          <w:p w14:paraId="71924651" w14:textId="77777777" w:rsidR="005B51FD" w:rsidRPr="00957111" w:rsidRDefault="005B51FD" w:rsidP="00D4274C">
            <w:pPr>
              <w:widowControl w:val="0"/>
              <w:suppressAutoHyphens/>
              <w:jc w:val="center"/>
              <w:rPr>
                <w:rFonts w:ascii="Garamond" w:hAnsi="Garamond"/>
                <w:sz w:val="20"/>
                <w:szCs w:val="20"/>
              </w:rPr>
            </w:pPr>
            <w:r w:rsidRPr="00957111">
              <w:rPr>
                <w:rFonts w:ascii="Garamond" w:hAnsi="Garamond"/>
                <w:sz w:val="20"/>
                <w:szCs w:val="20"/>
              </w:rPr>
              <w:t>5,1</w:t>
            </w:r>
          </w:p>
        </w:tc>
        <w:tc>
          <w:tcPr>
            <w:tcW w:w="1518" w:type="dxa"/>
            <w:shd w:val="clear" w:color="auto" w:fill="auto"/>
            <w:vAlign w:val="center"/>
          </w:tcPr>
          <w:p w14:paraId="13A09407" w14:textId="77777777" w:rsidR="005B51FD" w:rsidRPr="00957111" w:rsidRDefault="005B51FD" w:rsidP="00D4274C">
            <w:pPr>
              <w:widowControl w:val="0"/>
              <w:suppressAutoHyphens/>
              <w:jc w:val="center"/>
              <w:rPr>
                <w:rFonts w:ascii="Garamond" w:hAnsi="Garamond"/>
                <w:sz w:val="20"/>
                <w:szCs w:val="20"/>
              </w:rPr>
            </w:pPr>
            <w:r w:rsidRPr="00957111">
              <w:rPr>
                <w:rFonts w:ascii="Garamond" w:hAnsi="Garamond"/>
                <w:sz w:val="20"/>
                <w:szCs w:val="20"/>
              </w:rPr>
              <w:t>1,42</w:t>
            </w:r>
          </w:p>
        </w:tc>
      </w:tr>
      <w:tr w:rsidR="005B51FD" w:rsidRPr="00957111" w14:paraId="79972C4E" w14:textId="77777777" w:rsidTr="00D4274C">
        <w:trPr>
          <w:trHeight w:hRule="exact" w:val="255"/>
          <w:jc w:val="center"/>
        </w:trPr>
        <w:tc>
          <w:tcPr>
            <w:tcW w:w="1620" w:type="dxa"/>
            <w:shd w:val="clear" w:color="auto" w:fill="auto"/>
            <w:vAlign w:val="center"/>
          </w:tcPr>
          <w:p w14:paraId="5F59DDA7" w14:textId="77777777" w:rsidR="005B51FD" w:rsidRPr="00957111" w:rsidRDefault="005B51FD" w:rsidP="00D4274C">
            <w:pPr>
              <w:widowControl w:val="0"/>
              <w:suppressAutoHyphens/>
              <w:rPr>
                <w:rFonts w:ascii="Garamond" w:hAnsi="Garamond"/>
                <w:sz w:val="20"/>
                <w:szCs w:val="20"/>
              </w:rPr>
            </w:pPr>
            <w:r w:rsidRPr="00957111">
              <w:rPr>
                <w:rFonts w:ascii="Garamond" w:hAnsi="Garamond"/>
                <w:sz w:val="20"/>
                <w:szCs w:val="20"/>
              </w:rPr>
              <w:t>1907-1911</w:t>
            </w:r>
          </w:p>
        </w:tc>
        <w:tc>
          <w:tcPr>
            <w:tcW w:w="1260" w:type="dxa"/>
          </w:tcPr>
          <w:p w14:paraId="15994C20" w14:textId="77777777" w:rsidR="005B51FD" w:rsidRPr="00957111" w:rsidRDefault="005B51FD" w:rsidP="00D4274C">
            <w:pPr>
              <w:widowControl w:val="0"/>
              <w:suppressAutoHyphens/>
              <w:jc w:val="center"/>
              <w:rPr>
                <w:rFonts w:ascii="Garamond" w:hAnsi="Garamond"/>
                <w:sz w:val="20"/>
                <w:szCs w:val="20"/>
              </w:rPr>
            </w:pPr>
            <w:r w:rsidRPr="00957111">
              <w:rPr>
                <w:rFonts w:ascii="Garamond" w:hAnsi="Garamond"/>
                <w:sz w:val="20"/>
                <w:szCs w:val="20"/>
              </w:rPr>
              <w:t>50-54</w:t>
            </w:r>
          </w:p>
        </w:tc>
        <w:tc>
          <w:tcPr>
            <w:tcW w:w="1260" w:type="dxa"/>
            <w:shd w:val="clear" w:color="auto" w:fill="auto"/>
            <w:vAlign w:val="center"/>
          </w:tcPr>
          <w:p w14:paraId="350A3627" w14:textId="77777777" w:rsidR="005B51FD" w:rsidRPr="00957111" w:rsidRDefault="005B51FD" w:rsidP="00D4274C">
            <w:pPr>
              <w:widowControl w:val="0"/>
              <w:suppressAutoHyphens/>
              <w:jc w:val="center"/>
              <w:rPr>
                <w:rFonts w:ascii="Garamond" w:hAnsi="Garamond"/>
                <w:sz w:val="20"/>
                <w:szCs w:val="20"/>
              </w:rPr>
            </w:pPr>
            <w:r w:rsidRPr="00957111">
              <w:rPr>
                <w:rFonts w:ascii="Garamond" w:hAnsi="Garamond"/>
                <w:sz w:val="20"/>
                <w:szCs w:val="20"/>
              </w:rPr>
              <w:t>3,3</w:t>
            </w:r>
          </w:p>
        </w:tc>
        <w:tc>
          <w:tcPr>
            <w:tcW w:w="1260" w:type="dxa"/>
            <w:shd w:val="clear" w:color="auto" w:fill="auto"/>
            <w:vAlign w:val="center"/>
          </w:tcPr>
          <w:p w14:paraId="63CC376E" w14:textId="77777777" w:rsidR="005B51FD" w:rsidRPr="00957111" w:rsidRDefault="005B51FD" w:rsidP="00D4274C">
            <w:pPr>
              <w:widowControl w:val="0"/>
              <w:suppressAutoHyphens/>
              <w:jc w:val="center"/>
              <w:rPr>
                <w:rFonts w:ascii="Garamond" w:hAnsi="Garamond"/>
                <w:sz w:val="20"/>
                <w:szCs w:val="20"/>
              </w:rPr>
            </w:pPr>
            <w:r w:rsidRPr="00957111">
              <w:rPr>
                <w:rFonts w:ascii="Garamond" w:hAnsi="Garamond"/>
                <w:sz w:val="20"/>
                <w:szCs w:val="20"/>
              </w:rPr>
              <w:t>5,0</w:t>
            </w:r>
          </w:p>
        </w:tc>
        <w:tc>
          <w:tcPr>
            <w:tcW w:w="1518" w:type="dxa"/>
            <w:shd w:val="clear" w:color="auto" w:fill="auto"/>
            <w:vAlign w:val="center"/>
          </w:tcPr>
          <w:p w14:paraId="2C7758D2" w14:textId="77777777" w:rsidR="005B51FD" w:rsidRPr="00957111" w:rsidRDefault="005B51FD" w:rsidP="00D4274C">
            <w:pPr>
              <w:widowControl w:val="0"/>
              <w:suppressAutoHyphens/>
              <w:jc w:val="center"/>
              <w:rPr>
                <w:rFonts w:ascii="Garamond" w:hAnsi="Garamond"/>
                <w:sz w:val="20"/>
                <w:szCs w:val="20"/>
              </w:rPr>
            </w:pPr>
            <w:r w:rsidRPr="00957111">
              <w:rPr>
                <w:rFonts w:ascii="Garamond" w:hAnsi="Garamond"/>
                <w:sz w:val="20"/>
                <w:szCs w:val="20"/>
              </w:rPr>
              <w:t>1,52</w:t>
            </w:r>
          </w:p>
        </w:tc>
      </w:tr>
      <w:tr w:rsidR="005B51FD" w:rsidRPr="00957111" w14:paraId="6E73E3F2" w14:textId="77777777" w:rsidTr="00D4274C">
        <w:trPr>
          <w:trHeight w:hRule="exact" w:val="255"/>
          <w:jc w:val="center"/>
        </w:trPr>
        <w:tc>
          <w:tcPr>
            <w:tcW w:w="1620" w:type="dxa"/>
            <w:shd w:val="clear" w:color="auto" w:fill="auto"/>
            <w:vAlign w:val="center"/>
          </w:tcPr>
          <w:p w14:paraId="378B9922" w14:textId="77777777" w:rsidR="005B51FD" w:rsidRPr="00957111" w:rsidRDefault="005B51FD" w:rsidP="00D4274C">
            <w:pPr>
              <w:widowControl w:val="0"/>
              <w:suppressAutoHyphens/>
              <w:rPr>
                <w:rFonts w:ascii="Garamond" w:hAnsi="Garamond"/>
                <w:sz w:val="20"/>
                <w:szCs w:val="20"/>
              </w:rPr>
            </w:pPr>
            <w:r w:rsidRPr="00957111">
              <w:rPr>
                <w:rFonts w:ascii="Garamond" w:hAnsi="Garamond"/>
                <w:sz w:val="20"/>
                <w:szCs w:val="20"/>
              </w:rPr>
              <w:t>1912-1916</w:t>
            </w:r>
          </w:p>
        </w:tc>
        <w:tc>
          <w:tcPr>
            <w:tcW w:w="1260" w:type="dxa"/>
          </w:tcPr>
          <w:p w14:paraId="017E7D4E" w14:textId="77777777" w:rsidR="005B51FD" w:rsidRPr="00957111" w:rsidRDefault="005B51FD" w:rsidP="00D4274C">
            <w:pPr>
              <w:widowControl w:val="0"/>
              <w:suppressAutoHyphens/>
              <w:jc w:val="center"/>
              <w:rPr>
                <w:rFonts w:ascii="Garamond" w:hAnsi="Garamond"/>
                <w:sz w:val="20"/>
                <w:szCs w:val="20"/>
              </w:rPr>
            </w:pPr>
            <w:r w:rsidRPr="00957111">
              <w:rPr>
                <w:rFonts w:ascii="Garamond" w:hAnsi="Garamond"/>
                <w:sz w:val="20"/>
                <w:szCs w:val="20"/>
              </w:rPr>
              <w:t>45-49</w:t>
            </w:r>
          </w:p>
        </w:tc>
        <w:tc>
          <w:tcPr>
            <w:tcW w:w="1260" w:type="dxa"/>
            <w:shd w:val="clear" w:color="auto" w:fill="auto"/>
            <w:vAlign w:val="center"/>
          </w:tcPr>
          <w:p w14:paraId="6C99C58B" w14:textId="77777777" w:rsidR="005B51FD" w:rsidRPr="00957111" w:rsidRDefault="005B51FD" w:rsidP="00D4274C">
            <w:pPr>
              <w:widowControl w:val="0"/>
              <w:suppressAutoHyphens/>
              <w:jc w:val="center"/>
              <w:rPr>
                <w:rFonts w:ascii="Garamond" w:hAnsi="Garamond"/>
                <w:sz w:val="20"/>
                <w:szCs w:val="20"/>
              </w:rPr>
            </w:pPr>
            <w:r w:rsidRPr="00957111">
              <w:rPr>
                <w:rFonts w:ascii="Garamond" w:hAnsi="Garamond"/>
                <w:sz w:val="20"/>
                <w:szCs w:val="20"/>
              </w:rPr>
              <w:t>3,0</w:t>
            </w:r>
          </w:p>
        </w:tc>
        <w:tc>
          <w:tcPr>
            <w:tcW w:w="1260" w:type="dxa"/>
            <w:shd w:val="clear" w:color="auto" w:fill="auto"/>
            <w:vAlign w:val="center"/>
          </w:tcPr>
          <w:p w14:paraId="623C45C7" w14:textId="77777777" w:rsidR="005B51FD" w:rsidRPr="00957111" w:rsidRDefault="005B51FD" w:rsidP="00D4274C">
            <w:pPr>
              <w:widowControl w:val="0"/>
              <w:suppressAutoHyphens/>
              <w:jc w:val="center"/>
              <w:rPr>
                <w:rFonts w:ascii="Garamond" w:hAnsi="Garamond"/>
                <w:sz w:val="20"/>
                <w:szCs w:val="20"/>
              </w:rPr>
            </w:pPr>
            <w:r w:rsidRPr="00957111">
              <w:rPr>
                <w:rFonts w:ascii="Garamond" w:hAnsi="Garamond"/>
                <w:sz w:val="20"/>
                <w:szCs w:val="20"/>
              </w:rPr>
              <w:t>4,9</w:t>
            </w:r>
          </w:p>
        </w:tc>
        <w:tc>
          <w:tcPr>
            <w:tcW w:w="1518" w:type="dxa"/>
            <w:shd w:val="clear" w:color="auto" w:fill="auto"/>
            <w:vAlign w:val="center"/>
          </w:tcPr>
          <w:p w14:paraId="3D4DD868" w14:textId="77777777" w:rsidR="005B51FD" w:rsidRPr="00957111" w:rsidRDefault="005B51FD" w:rsidP="00D4274C">
            <w:pPr>
              <w:widowControl w:val="0"/>
              <w:suppressAutoHyphens/>
              <w:jc w:val="center"/>
              <w:rPr>
                <w:rFonts w:ascii="Garamond" w:hAnsi="Garamond"/>
                <w:sz w:val="20"/>
                <w:szCs w:val="20"/>
              </w:rPr>
            </w:pPr>
            <w:r w:rsidRPr="00957111">
              <w:rPr>
                <w:rFonts w:ascii="Garamond" w:hAnsi="Garamond"/>
                <w:sz w:val="20"/>
                <w:szCs w:val="20"/>
              </w:rPr>
              <w:t>1,63</w:t>
            </w:r>
          </w:p>
        </w:tc>
      </w:tr>
      <w:tr w:rsidR="005B51FD" w:rsidRPr="00957111" w14:paraId="142BA0AC" w14:textId="77777777" w:rsidTr="00D4274C">
        <w:trPr>
          <w:trHeight w:hRule="exact" w:val="255"/>
          <w:jc w:val="center"/>
        </w:trPr>
        <w:tc>
          <w:tcPr>
            <w:tcW w:w="1620" w:type="dxa"/>
            <w:shd w:val="clear" w:color="auto" w:fill="auto"/>
            <w:vAlign w:val="center"/>
          </w:tcPr>
          <w:p w14:paraId="6EFCB6C5" w14:textId="77777777" w:rsidR="005B51FD" w:rsidRPr="00957111" w:rsidRDefault="005B51FD" w:rsidP="00D4274C">
            <w:pPr>
              <w:widowControl w:val="0"/>
              <w:suppressAutoHyphens/>
              <w:rPr>
                <w:rFonts w:ascii="Garamond" w:hAnsi="Garamond"/>
                <w:sz w:val="20"/>
                <w:szCs w:val="20"/>
              </w:rPr>
            </w:pPr>
            <w:r w:rsidRPr="00957111">
              <w:rPr>
                <w:rFonts w:ascii="Garamond" w:hAnsi="Garamond"/>
                <w:sz w:val="20"/>
                <w:szCs w:val="20"/>
              </w:rPr>
              <w:t>1917-1921</w:t>
            </w:r>
          </w:p>
        </w:tc>
        <w:tc>
          <w:tcPr>
            <w:tcW w:w="1260" w:type="dxa"/>
          </w:tcPr>
          <w:p w14:paraId="6FFC8725" w14:textId="77777777" w:rsidR="005B51FD" w:rsidRPr="00957111" w:rsidRDefault="005B51FD" w:rsidP="00D4274C">
            <w:pPr>
              <w:widowControl w:val="0"/>
              <w:suppressAutoHyphens/>
              <w:jc w:val="center"/>
              <w:rPr>
                <w:rFonts w:ascii="Garamond" w:hAnsi="Garamond"/>
                <w:sz w:val="20"/>
                <w:szCs w:val="20"/>
              </w:rPr>
            </w:pPr>
            <w:r w:rsidRPr="00957111">
              <w:rPr>
                <w:rFonts w:ascii="Garamond" w:hAnsi="Garamond"/>
                <w:sz w:val="20"/>
                <w:szCs w:val="20"/>
              </w:rPr>
              <w:t>40-44</w:t>
            </w:r>
          </w:p>
        </w:tc>
        <w:tc>
          <w:tcPr>
            <w:tcW w:w="1260" w:type="dxa"/>
            <w:shd w:val="clear" w:color="auto" w:fill="auto"/>
            <w:vAlign w:val="center"/>
          </w:tcPr>
          <w:p w14:paraId="45D97FB7" w14:textId="77777777" w:rsidR="005B51FD" w:rsidRPr="00957111" w:rsidRDefault="005B51FD" w:rsidP="00D4274C">
            <w:pPr>
              <w:widowControl w:val="0"/>
              <w:suppressAutoHyphens/>
              <w:jc w:val="center"/>
              <w:rPr>
                <w:rFonts w:ascii="Garamond" w:hAnsi="Garamond"/>
                <w:sz w:val="20"/>
                <w:szCs w:val="20"/>
              </w:rPr>
            </w:pPr>
            <w:r w:rsidRPr="00957111">
              <w:rPr>
                <w:rFonts w:ascii="Garamond" w:hAnsi="Garamond"/>
                <w:sz w:val="20"/>
                <w:szCs w:val="20"/>
              </w:rPr>
              <w:t>2,7</w:t>
            </w:r>
          </w:p>
        </w:tc>
        <w:tc>
          <w:tcPr>
            <w:tcW w:w="1260" w:type="dxa"/>
            <w:shd w:val="clear" w:color="auto" w:fill="auto"/>
            <w:vAlign w:val="center"/>
          </w:tcPr>
          <w:p w14:paraId="44057143" w14:textId="77777777" w:rsidR="005B51FD" w:rsidRPr="00957111" w:rsidRDefault="005B51FD" w:rsidP="00D4274C">
            <w:pPr>
              <w:widowControl w:val="0"/>
              <w:suppressAutoHyphens/>
              <w:jc w:val="center"/>
              <w:rPr>
                <w:rFonts w:ascii="Garamond" w:hAnsi="Garamond"/>
                <w:sz w:val="20"/>
                <w:szCs w:val="20"/>
              </w:rPr>
            </w:pPr>
            <w:r w:rsidRPr="00957111">
              <w:rPr>
                <w:rFonts w:ascii="Garamond" w:hAnsi="Garamond"/>
                <w:sz w:val="20"/>
                <w:szCs w:val="20"/>
              </w:rPr>
              <w:t>4,5</w:t>
            </w:r>
          </w:p>
        </w:tc>
        <w:tc>
          <w:tcPr>
            <w:tcW w:w="1518" w:type="dxa"/>
            <w:shd w:val="clear" w:color="auto" w:fill="auto"/>
            <w:vAlign w:val="center"/>
          </w:tcPr>
          <w:p w14:paraId="1FD6F2C1" w14:textId="77777777" w:rsidR="005B51FD" w:rsidRPr="00957111" w:rsidRDefault="005B51FD" w:rsidP="00D4274C">
            <w:pPr>
              <w:widowControl w:val="0"/>
              <w:suppressAutoHyphens/>
              <w:jc w:val="center"/>
              <w:rPr>
                <w:rFonts w:ascii="Garamond" w:hAnsi="Garamond"/>
                <w:sz w:val="20"/>
                <w:szCs w:val="20"/>
              </w:rPr>
            </w:pPr>
            <w:r w:rsidRPr="00957111">
              <w:rPr>
                <w:rFonts w:ascii="Garamond" w:hAnsi="Garamond"/>
                <w:sz w:val="20"/>
                <w:szCs w:val="20"/>
              </w:rPr>
              <w:t>1,67</w:t>
            </w:r>
          </w:p>
        </w:tc>
      </w:tr>
      <w:tr w:rsidR="005B51FD" w:rsidRPr="00957111" w14:paraId="68485790" w14:textId="77777777" w:rsidTr="00D4274C">
        <w:trPr>
          <w:trHeight w:hRule="exact" w:val="255"/>
          <w:jc w:val="center"/>
        </w:trPr>
        <w:tc>
          <w:tcPr>
            <w:tcW w:w="1620" w:type="dxa"/>
            <w:shd w:val="clear" w:color="auto" w:fill="auto"/>
            <w:vAlign w:val="center"/>
          </w:tcPr>
          <w:p w14:paraId="68BF8FB1" w14:textId="77777777" w:rsidR="005B51FD" w:rsidRPr="00957111" w:rsidRDefault="005B51FD" w:rsidP="00D4274C">
            <w:pPr>
              <w:widowControl w:val="0"/>
              <w:suppressAutoHyphens/>
              <w:rPr>
                <w:rFonts w:ascii="Garamond" w:hAnsi="Garamond"/>
                <w:sz w:val="20"/>
                <w:szCs w:val="20"/>
              </w:rPr>
            </w:pPr>
            <w:r w:rsidRPr="00957111">
              <w:rPr>
                <w:rFonts w:ascii="Garamond" w:hAnsi="Garamond"/>
                <w:sz w:val="20"/>
                <w:szCs w:val="20"/>
              </w:rPr>
              <w:t>1922-1926</w:t>
            </w:r>
          </w:p>
        </w:tc>
        <w:tc>
          <w:tcPr>
            <w:tcW w:w="1260" w:type="dxa"/>
          </w:tcPr>
          <w:p w14:paraId="17F875C2" w14:textId="77777777" w:rsidR="005B51FD" w:rsidRPr="00957111" w:rsidRDefault="005B51FD" w:rsidP="00D4274C">
            <w:pPr>
              <w:widowControl w:val="0"/>
              <w:suppressAutoHyphens/>
              <w:jc w:val="center"/>
              <w:rPr>
                <w:rFonts w:ascii="Garamond" w:hAnsi="Garamond"/>
                <w:sz w:val="20"/>
                <w:szCs w:val="20"/>
              </w:rPr>
            </w:pPr>
            <w:r w:rsidRPr="00957111">
              <w:rPr>
                <w:rFonts w:ascii="Garamond" w:hAnsi="Garamond"/>
                <w:sz w:val="20"/>
                <w:szCs w:val="20"/>
              </w:rPr>
              <w:t>35-39</w:t>
            </w:r>
          </w:p>
        </w:tc>
        <w:tc>
          <w:tcPr>
            <w:tcW w:w="1260" w:type="dxa"/>
            <w:shd w:val="clear" w:color="auto" w:fill="auto"/>
            <w:vAlign w:val="center"/>
          </w:tcPr>
          <w:p w14:paraId="31CA6201" w14:textId="77777777" w:rsidR="005B51FD" w:rsidRPr="00957111" w:rsidRDefault="005B51FD" w:rsidP="00D4274C">
            <w:pPr>
              <w:widowControl w:val="0"/>
              <w:suppressAutoHyphens/>
              <w:jc w:val="center"/>
              <w:rPr>
                <w:rFonts w:ascii="Garamond" w:hAnsi="Garamond"/>
                <w:sz w:val="20"/>
                <w:szCs w:val="20"/>
              </w:rPr>
            </w:pPr>
            <w:r w:rsidRPr="00957111">
              <w:rPr>
                <w:rFonts w:ascii="Garamond" w:hAnsi="Garamond"/>
                <w:sz w:val="20"/>
                <w:szCs w:val="20"/>
              </w:rPr>
              <w:t>2,4</w:t>
            </w:r>
          </w:p>
        </w:tc>
        <w:tc>
          <w:tcPr>
            <w:tcW w:w="1260" w:type="dxa"/>
            <w:shd w:val="clear" w:color="auto" w:fill="auto"/>
            <w:vAlign w:val="center"/>
          </w:tcPr>
          <w:p w14:paraId="3C1E81A0" w14:textId="77777777" w:rsidR="005B51FD" w:rsidRPr="00957111" w:rsidRDefault="005B51FD" w:rsidP="00D4274C">
            <w:pPr>
              <w:widowControl w:val="0"/>
              <w:suppressAutoHyphens/>
              <w:jc w:val="center"/>
              <w:rPr>
                <w:rFonts w:ascii="Garamond" w:hAnsi="Garamond"/>
                <w:sz w:val="20"/>
                <w:szCs w:val="20"/>
              </w:rPr>
            </w:pPr>
            <w:r w:rsidRPr="00957111">
              <w:rPr>
                <w:rFonts w:ascii="Garamond" w:hAnsi="Garamond"/>
                <w:sz w:val="20"/>
                <w:szCs w:val="20"/>
              </w:rPr>
              <w:t>3,8</w:t>
            </w:r>
          </w:p>
        </w:tc>
        <w:tc>
          <w:tcPr>
            <w:tcW w:w="1518" w:type="dxa"/>
            <w:shd w:val="clear" w:color="auto" w:fill="auto"/>
            <w:vAlign w:val="center"/>
          </w:tcPr>
          <w:p w14:paraId="795FB8FA" w14:textId="77777777" w:rsidR="005B51FD" w:rsidRPr="00957111" w:rsidRDefault="005B51FD" w:rsidP="00D4274C">
            <w:pPr>
              <w:widowControl w:val="0"/>
              <w:suppressAutoHyphens/>
              <w:jc w:val="center"/>
              <w:rPr>
                <w:rFonts w:ascii="Garamond" w:hAnsi="Garamond"/>
                <w:sz w:val="20"/>
                <w:szCs w:val="20"/>
              </w:rPr>
            </w:pPr>
            <w:r w:rsidRPr="00957111">
              <w:rPr>
                <w:rFonts w:ascii="Garamond" w:hAnsi="Garamond"/>
                <w:sz w:val="20"/>
                <w:szCs w:val="20"/>
              </w:rPr>
              <w:t>1,58</w:t>
            </w:r>
          </w:p>
        </w:tc>
      </w:tr>
      <w:tr w:rsidR="005B51FD" w:rsidRPr="00957111" w14:paraId="08D9745A" w14:textId="77777777" w:rsidTr="00D4274C">
        <w:trPr>
          <w:trHeight w:hRule="exact" w:val="255"/>
          <w:jc w:val="center"/>
        </w:trPr>
        <w:tc>
          <w:tcPr>
            <w:tcW w:w="1620" w:type="dxa"/>
            <w:shd w:val="clear" w:color="auto" w:fill="auto"/>
            <w:vAlign w:val="center"/>
          </w:tcPr>
          <w:p w14:paraId="3A541C2F" w14:textId="77777777" w:rsidR="005B51FD" w:rsidRPr="00957111" w:rsidRDefault="005B51FD" w:rsidP="00D4274C">
            <w:pPr>
              <w:widowControl w:val="0"/>
              <w:suppressAutoHyphens/>
              <w:rPr>
                <w:rFonts w:ascii="Garamond" w:hAnsi="Garamond"/>
                <w:sz w:val="20"/>
                <w:szCs w:val="20"/>
              </w:rPr>
            </w:pPr>
            <w:r w:rsidRPr="00957111">
              <w:rPr>
                <w:rFonts w:ascii="Garamond" w:hAnsi="Garamond"/>
                <w:sz w:val="20"/>
                <w:szCs w:val="20"/>
              </w:rPr>
              <w:t>1927-1931</w:t>
            </w:r>
          </w:p>
        </w:tc>
        <w:tc>
          <w:tcPr>
            <w:tcW w:w="1260" w:type="dxa"/>
          </w:tcPr>
          <w:p w14:paraId="47CA0DFE" w14:textId="77777777" w:rsidR="005B51FD" w:rsidRPr="00957111" w:rsidRDefault="005B51FD" w:rsidP="00D4274C">
            <w:pPr>
              <w:widowControl w:val="0"/>
              <w:suppressAutoHyphens/>
              <w:jc w:val="center"/>
              <w:rPr>
                <w:rFonts w:ascii="Garamond" w:hAnsi="Garamond"/>
                <w:sz w:val="20"/>
                <w:szCs w:val="20"/>
              </w:rPr>
            </w:pPr>
            <w:r w:rsidRPr="00957111">
              <w:rPr>
                <w:rFonts w:ascii="Garamond" w:hAnsi="Garamond"/>
                <w:sz w:val="20"/>
                <w:szCs w:val="20"/>
              </w:rPr>
              <w:t>30-34</w:t>
            </w:r>
          </w:p>
        </w:tc>
        <w:tc>
          <w:tcPr>
            <w:tcW w:w="1260" w:type="dxa"/>
            <w:shd w:val="clear" w:color="auto" w:fill="auto"/>
            <w:vAlign w:val="center"/>
          </w:tcPr>
          <w:p w14:paraId="2D8797BA" w14:textId="77777777" w:rsidR="005B51FD" w:rsidRPr="00957111" w:rsidRDefault="005B51FD" w:rsidP="00D4274C">
            <w:pPr>
              <w:widowControl w:val="0"/>
              <w:suppressAutoHyphens/>
              <w:jc w:val="center"/>
              <w:rPr>
                <w:rFonts w:ascii="Garamond" w:hAnsi="Garamond"/>
                <w:sz w:val="20"/>
                <w:szCs w:val="20"/>
              </w:rPr>
            </w:pPr>
            <w:r w:rsidRPr="00957111">
              <w:rPr>
                <w:rFonts w:ascii="Garamond" w:hAnsi="Garamond"/>
                <w:sz w:val="20"/>
                <w:szCs w:val="20"/>
              </w:rPr>
              <w:t>2,0</w:t>
            </w:r>
          </w:p>
        </w:tc>
        <w:tc>
          <w:tcPr>
            <w:tcW w:w="1260" w:type="dxa"/>
            <w:shd w:val="clear" w:color="auto" w:fill="auto"/>
            <w:vAlign w:val="center"/>
          </w:tcPr>
          <w:p w14:paraId="45D474DD" w14:textId="77777777" w:rsidR="005B51FD" w:rsidRPr="00957111" w:rsidRDefault="005B51FD" w:rsidP="00D4274C">
            <w:pPr>
              <w:widowControl w:val="0"/>
              <w:suppressAutoHyphens/>
              <w:jc w:val="center"/>
              <w:rPr>
                <w:rFonts w:ascii="Garamond" w:hAnsi="Garamond"/>
                <w:sz w:val="20"/>
                <w:szCs w:val="20"/>
              </w:rPr>
            </w:pPr>
            <w:r w:rsidRPr="00957111">
              <w:rPr>
                <w:rFonts w:ascii="Garamond" w:hAnsi="Garamond"/>
                <w:sz w:val="20"/>
                <w:szCs w:val="20"/>
              </w:rPr>
              <w:t>2,9</w:t>
            </w:r>
          </w:p>
        </w:tc>
        <w:tc>
          <w:tcPr>
            <w:tcW w:w="1518" w:type="dxa"/>
            <w:shd w:val="clear" w:color="auto" w:fill="auto"/>
            <w:vAlign w:val="center"/>
          </w:tcPr>
          <w:p w14:paraId="02942844" w14:textId="77777777" w:rsidR="005B51FD" w:rsidRPr="00957111" w:rsidRDefault="005B51FD" w:rsidP="00D4274C">
            <w:pPr>
              <w:widowControl w:val="0"/>
              <w:suppressAutoHyphens/>
              <w:jc w:val="center"/>
              <w:rPr>
                <w:rFonts w:ascii="Garamond" w:hAnsi="Garamond"/>
                <w:sz w:val="20"/>
                <w:szCs w:val="20"/>
              </w:rPr>
            </w:pPr>
            <w:r w:rsidRPr="00957111">
              <w:rPr>
                <w:rFonts w:ascii="Garamond" w:hAnsi="Garamond"/>
                <w:sz w:val="20"/>
                <w:szCs w:val="20"/>
              </w:rPr>
              <w:t>1,45</w:t>
            </w:r>
          </w:p>
        </w:tc>
      </w:tr>
      <w:tr w:rsidR="005B51FD" w:rsidRPr="00957111" w14:paraId="0E4AB3E8" w14:textId="77777777" w:rsidTr="00D4274C">
        <w:trPr>
          <w:trHeight w:hRule="exact" w:val="255"/>
          <w:jc w:val="center"/>
        </w:trPr>
        <w:tc>
          <w:tcPr>
            <w:tcW w:w="1620" w:type="dxa"/>
            <w:shd w:val="clear" w:color="auto" w:fill="auto"/>
            <w:vAlign w:val="center"/>
          </w:tcPr>
          <w:p w14:paraId="1951444B" w14:textId="77777777" w:rsidR="005B51FD" w:rsidRPr="00957111" w:rsidRDefault="005B51FD" w:rsidP="00D4274C">
            <w:pPr>
              <w:widowControl w:val="0"/>
              <w:suppressAutoHyphens/>
              <w:rPr>
                <w:rFonts w:ascii="Garamond" w:hAnsi="Garamond"/>
                <w:sz w:val="20"/>
                <w:szCs w:val="20"/>
              </w:rPr>
            </w:pPr>
            <w:r w:rsidRPr="00957111">
              <w:rPr>
                <w:rFonts w:ascii="Garamond" w:hAnsi="Garamond"/>
                <w:sz w:val="20"/>
                <w:szCs w:val="20"/>
              </w:rPr>
              <w:t>1932-1936</w:t>
            </w:r>
          </w:p>
        </w:tc>
        <w:tc>
          <w:tcPr>
            <w:tcW w:w="1260" w:type="dxa"/>
          </w:tcPr>
          <w:p w14:paraId="5DB5A011" w14:textId="77777777" w:rsidR="005B51FD" w:rsidRPr="00957111" w:rsidRDefault="005B51FD" w:rsidP="00D4274C">
            <w:pPr>
              <w:widowControl w:val="0"/>
              <w:suppressAutoHyphens/>
              <w:jc w:val="center"/>
              <w:rPr>
                <w:rFonts w:ascii="Garamond" w:hAnsi="Garamond"/>
                <w:sz w:val="20"/>
                <w:szCs w:val="20"/>
              </w:rPr>
            </w:pPr>
            <w:r w:rsidRPr="00957111">
              <w:rPr>
                <w:rFonts w:ascii="Garamond" w:hAnsi="Garamond"/>
                <w:sz w:val="20"/>
                <w:szCs w:val="20"/>
              </w:rPr>
              <w:t>25-29</w:t>
            </w:r>
          </w:p>
        </w:tc>
        <w:tc>
          <w:tcPr>
            <w:tcW w:w="1260" w:type="dxa"/>
            <w:shd w:val="clear" w:color="auto" w:fill="auto"/>
            <w:vAlign w:val="center"/>
          </w:tcPr>
          <w:p w14:paraId="1BCA8AED" w14:textId="77777777" w:rsidR="005B51FD" w:rsidRPr="00957111" w:rsidRDefault="005B51FD" w:rsidP="00D4274C">
            <w:pPr>
              <w:widowControl w:val="0"/>
              <w:suppressAutoHyphens/>
              <w:jc w:val="center"/>
              <w:rPr>
                <w:rFonts w:ascii="Garamond" w:hAnsi="Garamond"/>
                <w:sz w:val="20"/>
                <w:szCs w:val="20"/>
              </w:rPr>
            </w:pPr>
            <w:r w:rsidRPr="00957111">
              <w:rPr>
                <w:rFonts w:ascii="Garamond" w:hAnsi="Garamond"/>
                <w:sz w:val="20"/>
                <w:szCs w:val="20"/>
              </w:rPr>
              <w:t>1,4</w:t>
            </w:r>
          </w:p>
        </w:tc>
        <w:tc>
          <w:tcPr>
            <w:tcW w:w="1260" w:type="dxa"/>
            <w:shd w:val="clear" w:color="auto" w:fill="auto"/>
            <w:vAlign w:val="center"/>
          </w:tcPr>
          <w:p w14:paraId="444060B1" w14:textId="77777777" w:rsidR="005B51FD" w:rsidRPr="00957111" w:rsidRDefault="005B51FD" w:rsidP="00D4274C">
            <w:pPr>
              <w:widowControl w:val="0"/>
              <w:suppressAutoHyphens/>
              <w:jc w:val="center"/>
              <w:rPr>
                <w:rFonts w:ascii="Garamond" w:hAnsi="Garamond"/>
                <w:sz w:val="20"/>
                <w:szCs w:val="20"/>
              </w:rPr>
            </w:pPr>
            <w:r w:rsidRPr="00957111">
              <w:rPr>
                <w:rFonts w:ascii="Garamond" w:hAnsi="Garamond"/>
                <w:sz w:val="20"/>
                <w:szCs w:val="20"/>
              </w:rPr>
              <w:t>2,0</w:t>
            </w:r>
          </w:p>
        </w:tc>
        <w:tc>
          <w:tcPr>
            <w:tcW w:w="1518" w:type="dxa"/>
            <w:shd w:val="clear" w:color="auto" w:fill="auto"/>
            <w:vAlign w:val="center"/>
          </w:tcPr>
          <w:p w14:paraId="74CA41C9" w14:textId="77777777" w:rsidR="005B51FD" w:rsidRPr="00957111" w:rsidRDefault="005B51FD" w:rsidP="00D4274C">
            <w:pPr>
              <w:widowControl w:val="0"/>
              <w:suppressAutoHyphens/>
              <w:jc w:val="center"/>
              <w:rPr>
                <w:rFonts w:ascii="Garamond" w:hAnsi="Garamond"/>
                <w:sz w:val="20"/>
                <w:szCs w:val="20"/>
              </w:rPr>
            </w:pPr>
            <w:r w:rsidRPr="00957111">
              <w:rPr>
                <w:rFonts w:ascii="Garamond" w:hAnsi="Garamond"/>
                <w:sz w:val="20"/>
                <w:szCs w:val="20"/>
              </w:rPr>
              <w:t>1,43</w:t>
            </w:r>
          </w:p>
        </w:tc>
      </w:tr>
      <w:tr w:rsidR="005B51FD" w:rsidRPr="00957111" w14:paraId="0FF1D290" w14:textId="77777777" w:rsidTr="00D4274C">
        <w:trPr>
          <w:trHeight w:hRule="exact" w:val="255"/>
          <w:jc w:val="center"/>
        </w:trPr>
        <w:tc>
          <w:tcPr>
            <w:tcW w:w="1620" w:type="dxa"/>
            <w:shd w:val="clear" w:color="auto" w:fill="auto"/>
            <w:vAlign w:val="center"/>
          </w:tcPr>
          <w:p w14:paraId="62E496BB" w14:textId="77777777" w:rsidR="005B51FD" w:rsidRPr="00957111" w:rsidRDefault="005B51FD" w:rsidP="00D4274C">
            <w:pPr>
              <w:widowControl w:val="0"/>
              <w:suppressAutoHyphens/>
              <w:rPr>
                <w:rFonts w:ascii="Garamond" w:hAnsi="Garamond"/>
                <w:sz w:val="20"/>
                <w:szCs w:val="20"/>
              </w:rPr>
            </w:pPr>
            <w:r w:rsidRPr="00957111">
              <w:rPr>
                <w:rFonts w:ascii="Garamond" w:hAnsi="Garamond"/>
                <w:sz w:val="20"/>
                <w:szCs w:val="20"/>
              </w:rPr>
              <w:t>1937-1941</w:t>
            </w:r>
          </w:p>
        </w:tc>
        <w:tc>
          <w:tcPr>
            <w:tcW w:w="1260" w:type="dxa"/>
          </w:tcPr>
          <w:p w14:paraId="767780C3" w14:textId="77777777" w:rsidR="005B51FD" w:rsidRPr="00957111" w:rsidRDefault="005B51FD" w:rsidP="00D4274C">
            <w:pPr>
              <w:widowControl w:val="0"/>
              <w:suppressAutoHyphens/>
              <w:jc w:val="center"/>
              <w:rPr>
                <w:rFonts w:ascii="Garamond" w:hAnsi="Garamond"/>
                <w:sz w:val="20"/>
                <w:szCs w:val="20"/>
              </w:rPr>
            </w:pPr>
            <w:r w:rsidRPr="00957111">
              <w:rPr>
                <w:rFonts w:ascii="Garamond" w:hAnsi="Garamond"/>
                <w:sz w:val="20"/>
                <w:szCs w:val="20"/>
              </w:rPr>
              <w:t>20-24</w:t>
            </w:r>
          </w:p>
        </w:tc>
        <w:tc>
          <w:tcPr>
            <w:tcW w:w="1260" w:type="dxa"/>
            <w:shd w:val="clear" w:color="auto" w:fill="auto"/>
            <w:vAlign w:val="center"/>
          </w:tcPr>
          <w:p w14:paraId="6193AA34" w14:textId="77777777" w:rsidR="005B51FD" w:rsidRPr="00957111" w:rsidRDefault="005B51FD" w:rsidP="00D4274C">
            <w:pPr>
              <w:widowControl w:val="0"/>
              <w:suppressAutoHyphens/>
              <w:jc w:val="center"/>
              <w:rPr>
                <w:rFonts w:ascii="Garamond" w:hAnsi="Garamond"/>
                <w:sz w:val="20"/>
                <w:szCs w:val="20"/>
              </w:rPr>
            </w:pPr>
            <w:r w:rsidRPr="00957111">
              <w:rPr>
                <w:rFonts w:ascii="Garamond" w:hAnsi="Garamond"/>
                <w:sz w:val="20"/>
                <w:szCs w:val="20"/>
              </w:rPr>
              <w:t>0,9</w:t>
            </w:r>
          </w:p>
        </w:tc>
        <w:tc>
          <w:tcPr>
            <w:tcW w:w="1260" w:type="dxa"/>
            <w:shd w:val="clear" w:color="auto" w:fill="auto"/>
            <w:vAlign w:val="center"/>
          </w:tcPr>
          <w:p w14:paraId="78F58659" w14:textId="77777777" w:rsidR="005B51FD" w:rsidRPr="00957111" w:rsidRDefault="005B51FD" w:rsidP="00D4274C">
            <w:pPr>
              <w:widowControl w:val="0"/>
              <w:suppressAutoHyphens/>
              <w:jc w:val="center"/>
              <w:rPr>
                <w:rFonts w:ascii="Garamond" w:hAnsi="Garamond"/>
                <w:sz w:val="20"/>
                <w:szCs w:val="20"/>
              </w:rPr>
            </w:pPr>
            <w:r w:rsidRPr="00957111">
              <w:rPr>
                <w:rFonts w:ascii="Garamond" w:hAnsi="Garamond"/>
                <w:sz w:val="20"/>
                <w:szCs w:val="20"/>
              </w:rPr>
              <w:t>1,2</w:t>
            </w:r>
          </w:p>
        </w:tc>
        <w:tc>
          <w:tcPr>
            <w:tcW w:w="1518" w:type="dxa"/>
            <w:shd w:val="clear" w:color="auto" w:fill="auto"/>
            <w:vAlign w:val="center"/>
          </w:tcPr>
          <w:p w14:paraId="7E2FEF07" w14:textId="77777777" w:rsidR="005B51FD" w:rsidRPr="00957111" w:rsidRDefault="005B51FD" w:rsidP="00D4274C">
            <w:pPr>
              <w:widowControl w:val="0"/>
              <w:suppressAutoHyphens/>
              <w:jc w:val="center"/>
              <w:rPr>
                <w:rFonts w:ascii="Garamond" w:hAnsi="Garamond"/>
                <w:sz w:val="20"/>
                <w:szCs w:val="20"/>
              </w:rPr>
            </w:pPr>
            <w:r w:rsidRPr="00957111">
              <w:rPr>
                <w:rFonts w:ascii="Garamond" w:hAnsi="Garamond"/>
                <w:sz w:val="20"/>
                <w:szCs w:val="20"/>
              </w:rPr>
              <w:t>1,33</w:t>
            </w:r>
          </w:p>
        </w:tc>
      </w:tr>
      <w:tr w:rsidR="005B51FD" w:rsidRPr="00957111" w14:paraId="5C9A399E" w14:textId="77777777" w:rsidTr="00D4274C">
        <w:trPr>
          <w:trHeight w:hRule="exact" w:val="255"/>
          <w:jc w:val="center"/>
        </w:trPr>
        <w:tc>
          <w:tcPr>
            <w:tcW w:w="1620" w:type="dxa"/>
            <w:shd w:val="clear" w:color="auto" w:fill="auto"/>
            <w:vAlign w:val="center"/>
          </w:tcPr>
          <w:p w14:paraId="4B278AE5" w14:textId="77777777" w:rsidR="005B51FD" w:rsidRPr="00957111" w:rsidRDefault="005B51FD" w:rsidP="00D4274C">
            <w:pPr>
              <w:widowControl w:val="0"/>
              <w:suppressAutoHyphens/>
              <w:rPr>
                <w:rFonts w:ascii="Garamond" w:hAnsi="Garamond"/>
                <w:sz w:val="20"/>
                <w:szCs w:val="20"/>
              </w:rPr>
            </w:pPr>
            <w:r w:rsidRPr="00957111">
              <w:rPr>
                <w:rFonts w:ascii="Garamond" w:hAnsi="Garamond"/>
                <w:sz w:val="20"/>
                <w:szCs w:val="20"/>
              </w:rPr>
              <w:t>1942 ed oltre</w:t>
            </w:r>
          </w:p>
        </w:tc>
        <w:tc>
          <w:tcPr>
            <w:tcW w:w="1260" w:type="dxa"/>
          </w:tcPr>
          <w:p w14:paraId="47084FF4" w14:textId="77777777" w:rsidR="005B51FD" w:rsidRPr="00957111" w:rsidRDefault="005B51FD" w:rsidP="00D4274C">
            <w:pPr>
              <w:widowControl w:val="0"/>
              <w:suppressAutoHyphens/>
              <w:jc w:val="center"/>
              <w:rPr>
                <w:rFonts w:ascii="Garamond" w:hAnsi="Garamond"/>
                <w:sz w:val="20"/>
                <w:szCs w:val="20"/>
              </w:rPr>
            </w:pPr>
            <w:r w:rsidRPr="00957111">
              <w:rPr>
                <w:rFonts w:ascii="Garamond" w:hAnsi="Garamond"/>
                <w:sz w:val="20"/>
                <w:szCs w:val="20"/>
              </w:rPr>
              <w:t>&lt; 20</w:t>
            </w:r>
          </w:p>
        </w:tc>
        <w:tc>
          <w:tcPr>
            <w:tcW w:w="1260" w:type="dxa"/>
            <w:shd w:val="clear" w:color="auto" w:fill="auto"/>
            <w:vAlign w:val="center"/>
          </w:tcPr>
          <w:p w14:paraId="24F01889" w14:textId="77777777" w:rsidR="005B51FD" w:rsidRPr="00957111" w:rsidRDefault="005B51FD" w:rsidP="00D4274C">
            <w:pPr>
              <w:widowControl w:val="0"/>
              <w:suppressAutoHyphens/>
              <w:jc w:val="center"/>
              <w:rPr>
                <w:rFonts w:ascii="Garamond" w:hAnsi="Garamond"/>
                <w:sz w:val="20"/>
                <w:szCs w:val="20"/>
              </w:rPr>
            </w:pPr>
            <w:r w:rsidRPr="00957111">
              <w:rPr>
                <w:rFonts w:ascii="Garamond" w:hAnsi="Garamond"/>
                <w:sz w:val="20"/>
                <w:szCs w:val="20"/>
              </w:rPr>
              <w:t>0,6</w:t>
            </w:r>
          </w:p>
        </w:tc>
        <w:tc>
          <w:tcPr>
            <w:tcW w:w="1260" w:type="dxa"/>
            <w:shd w:val="clear" w:color="auto" w:fill="auto"/>
            <w:vAlign w:val="center"/>
          </w:tcPr>
          <w:p w14:paraId="29EA11E5" w14:textId="77777777" w:rsidR="005B51FD" w:rsidRPr="00957111" w:rsidRDefault="005B51FD" w:rsidP="00D4274C">
            <w:pPr>
              <w:widowControl w:val="0"/>
              <w:suppressAutoHyphens/>
              <w:jc w:val="center"/>
              <w:rPr>
                <w:rFonts w:ascii="Garamond" w:hAnsi="Garamond"/>
                <w:sz w:val="20"/>
                <w:szCs w:val="20"/>
              </w:rPr>
            </w:pPr>
            <w:r w:rsidRPr="00957111">
              <w:rPr>
                <w:rFonts w:ascii="Garamond" w:hAnsi="Garamond"/>
                <w:sz w:val="20"/>
                <w:szCs w:val="20"/>
              </w:rPr>
              <w:t>0,7</w:t>
            </w:r>
          </w:p>
        </w:tc>
        <w:tc>
          <w:tcPr>
            <w:tcW w:w="1518" w:type="dxa"/>
            <w:shd w:val="clear" w:color="auto" w:fill="auto"/>
            <w:vAlign w:val="center"/>
          </w:tcPr>
          <w:p w14:paraId="13BD34AB" w14:textId="77777777" w:rsidR="005B51FD" w:rsidRPr="00957111" w:rsidRDefault="005B51FD" w:rsidP="00D4274C">
            <w:pPr>
              <w:widowControl w:val="0"/>
              <w:suppressAutoHyphens/>
              <w:jc w:val="center"/>
              <w:rPr>
                <w:rFonts w:ascii="Garamond" w:hAnsi="Garamond"/>
                <w:sz w:val="20"/>
                <w:szCs w:val="20"/>
              </w:rPr>
            </w:pPr>
            <w:r w:rsidRPr="00957111">
              <w:rPr>
                <w:rFonts w:ascii="Garamond" w:hAnsi="Garamond"/>
                <w:sz w:val="20"/>
                <w:szCs w:val="20"/>
              </w:rPr>
              <w:t>1,17</w:t>
            </w:r>
          </w:p>
        </w:tc>
      </w:tr>
      <w:tr w:rsidR="005B51FD" w:rsidRPr="00957111" w14:paraId="3C05541F" w14:textId="77777777" w:rsidTr="00D4274C">
        <w:trPr>
          <w:trHeight w:hRule="exact" w:val="255"/>
          <w:jc w:val="center"/>
        </w:trPr>
        <w:tc>
          <w:tcPr>
            <w:tcW w:w="1620" w:type="dxa"/>
            <w:tcBorders>
              <w:bottom w:val="single" w:sz="4" w:space="0" w:color="000000"/>
            </w:tcBorders>
            <w:shd w:val="clear" w:color="auto" w:fill="auto"/>
            <w:vAlign w:val="center"/>
          </w:tcPr>
          <w:p w14:paraId="23A156C4" w14:textId="77777777" w:rsidR="005B51FD" w:rsidRPr="00957111" w:rsidRDefault="005B51FD" w:rsidP="00D4274C">
            <w:pPr>
              <w:widowControl w:val="0"/>
              <w:suppressAutoHyphens/>
              <w:rPr>
                <w:rFonts w:ascii="Garamond" w:hAnsi="Garamond"/>
                <w:sz w:val="20"/>
                <w:szCs w:val="20"/>
              </w:rPr>
            </w:pPr>
            <w:r w:rsidRPr="00957111">
              <w:rPr>
                <w:rFonts w:ascii="Garamond" w:hAnsi="Garamond"/>
                <w:sz w:val="20"/>
                <w:szCs w:val="20"/>
              </w:rPr>
              <w:t>Totale</w:t>
            </w:r>
          </w:p>
        </w:tc>
        <w:tc>
          <w:tcPr>
            <w:tcW w:w="1260" w:type="dxa"/>
            <w:tcBorders>
              <w:bottom w:val="single" w:sz="4" w:space="0" w:color="000000"/>
            </w:tcBorders>
          </w:tcPr>
          <w:p w14:paraId="7F8A540C" w14:textId="77777777" w:rsidR="005B51FD" w:rsidRPr="00957111" w:rsidRDefault="005B51FD" w:rsidP="00D4274C">
            <w:pPr>
              <w:widowControl w:val="0"/>
              <w:suppressAutoHyphens/>
              <w:jc w:val="center"/>
              <w:rPr>
                <w:rFonts w:ascii="Garamond" w:hAnsi="Garamond"/>
                <w:sz w:val="20"/>
                <w:szCs w:val="20"/>
              </w:rPr>
            </w:pPr>
          </w:p>
        </w:tc>
        <w:tc>
          <w:tcPr>
            <w:tcW w:w="1260" w:type="dxa"/>
            <w:tcBorders>
              <w:bottom w:val="single" w:sz="4" w:space="0" w:color="000000"/>
            </w:tcBorders>
            <w:shd w:val="clear" w:color="auto" w:fill="auto"/>
            <w:vAlign w:val="center"/>
          </w:tcPr>
          <w:p w14:paraId="78C74F0F" w14:textId="77777777" w:rsidR="005B51FD" w:rsidRPr="00957111" w:rsidRDefault="005B51FD" w:rsidP="00D4274C">
            <w:pPr>
              <w:widowControl w:val="0"/>
              <w:suppressAutoHyphens/>
              <w:jc w:val="center"/>
              <w:rPr>
                <w:rFonts w:ascii="Garamond" w:hAnsi="Garamond"/>
                <w:sz w:val="20"/>
                <w:szCs w:val="20"/>
              </w:rPr>
            </w:pPr>
            <w:r w:rsidRPr="00957111">
              <w:rPr>
                <w:rFonts w:ascii="Garamond" w:hAnsi="Garamond"/>
                <w:sz w:val="20"/>
                <w:szCs w:val="20"/>
              </w:rPr>
              <w:t>2,6</w:t>
            </w:r>
          </w:p>
        </w:tc>
        <w:tc>
          <w:tcPr>
            <w:tcW w:w="1260" w:type="dxa"/>
            <w:tcBorders>
              <w:bottom w:val="single" w:sz="4" w:space="0" w:color="000000"/>
            </w:tcBorders>
            <w:shd w:val="clear" w:color="auto" w:fill="auto"/>
            <w:vAlign w:val="center"/>
          </w:tcPr>
          <w:p w14:paraId="1130F8A6" w14:textId="77777777" w:rsidR="005B51FD" w:rsidRPr="00957111" w:rsidRDefault="005B51FD" w:rsidP="00D4274C">
            <w:pPr>
              <w:widowControl w:val="0"/>
              <w:suppressAutoHyphens/>
              <w:jc w:val="center"/>
              <w:rPr>
                <w:rFonts w:ascii="Garamond" w:hAnsi="Garamond"/>
                <w:sz w:val="20"/>
                <w:szCs w:val="20"/>
              </w:rPr>
            </w:pPr>
            <w:r w:rsidRPr="00957111">
              <w:rPr>
                <w:rFonts w:ascii="Garamond" w:hAnsi="Garamond"/>
                <w:sz w:val="20"/>
                <w:szCs w:val="20"/>
              </w:rPr>
              <w:t>3,9</w:t>
            </w:r>
          </w:p>
        </w:tc>
        <w:tc>
          <w:tcPr>
            <w:tcW w:w="1518" w:type="dxa"/>
            <w:tcBorders>
              <w:bottom w:val="single" w:sz="4" w:space="0" w:color="000000"/>
            </w:tcBorders>
            <w:shd w:val="clear" w:color="auto" w:fill="auto"/>
            <w:vAlign w:val="center"/>
          </w:tcPr>
          <w:p w14:paraId="1EBFB812" w14:textId="77777777" w:rsidR="005B51FD" w:rsidRPr="00957111" w:rsidRDefault="005B51FD" w:rsidP="00D4274C">
            <w:pPr>
              <w:widowControl w:val="0"/>
              <w:suppressAutoHyphens/>
              <w:jc w:val="center"/>
              <w:rPr>
                <w:rFonts w:ascii="Garamond" w:hAnsi="Garamond"/>
                <w:sz w:val="20"/>
                <w:szCs w:val="20"/>
              </w:rPr>
            </w:pPr>
            <w:r w:rsidRPr="00957111">
              <w:rPr>
                <w:rFonts w:ascii="Garamond" w:hAnsi="Garamond"/>
                <w:sz w:val="20"/>
                <w:szCs w:val="20"/>
              </w:rPr>
              <w:t>1,50</w:t>
            </w:r>
          </w:p>
        </w:tc>
      </w:tr>
    </w:tbl>
    <w:p w14:paraId="3378EAFA" w14:textId="77777777" w:rsidR="005B51FD" w:rsidRDefault="005B51FD" w:rsidP="005B51FD">
      <w:pPr>
        <w:rPr>
          <w:rFonts w:ascii="Garamond" w:hAnsi="Garamond"/>
          <w:sz w:val="20"/>
          <w:szCs w:val="20"/>
        </w:rPr>
      </w:pPr>
    </w:p>
    <w:p w14:paraId="40DB37C3" w14:textId="77777777" w:rsidR="005B51FD" w:rsidRPr="00C068B1" w:rsidRDefault="005B51FD" w:rsidP="005B51FD">
      <w:pPr>
        <w:pStyle w:val="Maintext"/>
        <w:suppressAutoHyphens w:val="0"/>
        <w:ind w:firstLine="284"/>
        <w:rPr>
          <w:rFonts w:ascii="Garamond" w:hAnsi="Garamond"/>
          <w:sz w:val="22"/>
          <w:szCs w:val="22"/>
        </w:rPr>
      </w:pPr>
      <w:r w:rsidRPr="00C068B1">
        <w:rPr>
          <w:rFonts w:ascii="Garamond" w:hAnsi="Garamond"/>
          <w:sz w:val="22"/>
          <w:szCs w:val="22"/>
        </w:rPr>
        <w:t>Instead of simply listing Section headings of different levels we recommend to let every heading be followed by at least a short passage of text</w:t>
      </w:r>
      <w:r w:rsidRPr="00C068B1">
        <w:rPr>
          <w:rFonts w:ascii="Garamond" w:hAnsi="Garamond"/>
          <w:sz w:val="22"/>
          <w:szCs w:val="22"/>
          <w:vertAlign w:val="superscript"/>
        </w:rPr>
        <w:t>7</w:t>
      </w:r>
      <w:r w:rsidRPr="00C068B1">
        <w:rPr>
          <w:rFonts w:ascii="Garamond" w:hAnsi="Garamond"/>
          <w:sz w:val="22"/>
          <w:szCs w:val="22"/>
        </w:rPr>
        <w:t>. Please note that the first line of text that follows a Section heading is not indented, whereas the first lines of all subsequent paragraphs are. Instead of simply listing Section headings of different levels we recommend to let every heading be followed by at least a short passage of text. Please note that the first line of text that follows a Section heading is not indented, whereas the first lines of all subsequent paragraphs are:</w:t>
      </w:r>
    </w:p>
    <w:p w14:paraId="34F6FD7F" w14:textId="77777777" w:rsidR="005B51FD" w:rsidRPr="00C068B1" w:rsidRDefault="005B51FD" w:rsidP="005B51FD">
      <w:pPr>
        <w:pStyle w:val="Maintext"/>
        <w:suppressAutoHyphens w:val="0"/>
        <w:spacing w:before="240"/>
        <w:ind w:left="284" w:right="284"/>
        <w:rPr>
          <w:rFonts w:ascii="Garamond" w:hAnsi="Garamond"/>
          <w:sz w:val="20"/>
        </w:rPr>
      </w:pPr>
      <w:r w:rsidRPr="00C068B1">
        <w:rPr>
          <w:rFonts w:ascii="Garamond" w:hAnsi="Garamond"/>
          <w:sz w:val="20"/>
        </w:rPr>
        <w:t>Instead of simply listing Section headings of different levels we recommend to let every heading be followed by at least a short passage of text. Please note that the first line of text that follows a Section heading is not indented, whereas the first lines of all subsequent paragraphs are.</w:t>
      </w:r>
    </w:p>
    <w:p w14:paraId="0267B9D2" w14:textId="77777777" w:rsidR="005B51FD" w:rsidRPr="00C068B1" w:rsidRDefault="005B51FD" w:rsidP="005B51FD">
      <w:pPr>
        <w:pStyle w:val="Maintext"/>
        <w:suppressAutoHyphens w:val="0"/>
        <w:spacing w:before="240"/>
        <w:ind w:firstLine="284"/>
        <w:rPr>
          <w:rFonts w:ascii="Garamond" w:hAnsi="Garamond"/>
          <w:sz w:val="22"/>
          <w:szCs w:val="22"/>
        </w:rPr>
      </w:pPr>
      <w:r w:rsidRPr="00C068B1">
        <w:rPr>
          <w:rFonts w:ascii="Garamond" w:hAnsi="Garamond"/>
          <w:sz w:val="22"/>
          <w:szCs w:val="22"/>
        </w:rPr>
        <w:t>Instead of simply listing Section headings of different levels we recommend to let every heading be followed by at least a short passage of text. Please note that the first line of text that follows a Section heading is not indented, whereas the first lines of all subsequent paragraphs are</w:t>
      </w:r>
      <w:r w:rsidRPr="00C068B1">
        <w:rPr>
          <w:rFonts w:ascii="Garamond" w:hAnsi="Garamond"/>
          <w:sz w:val="22"/>
          <w:szCs w:val="22"/>
          <w:vertAlign w:val="superscript"/>
        </w:rPr>
        <w:t>8</w:t>
      </w:r>
      <w:r w:rsidRPr="00C068B1">
        <w:rPr>
          <w:rFonts w:ascii="Garamond" w:hAnsi="Garamond"/>
          <w:sz w:val="22"/>
          <w:szCs w:val="22"/>
        </w:rPr>
        <w:t>.</w:t>
      </w:r>
    </w:p>
    <w:p w14:paraId="6050681B" w14:textId="77777777" w:rsidR="005B51FD" w:rsidRPr="00C068B1" w:rsidRDefault="005B51FD" w:rsidP="005B51FD">
      <w:pPr>
        <w:jc w:val="both"/>
        <w:rPr>
          <w:rFonts w:ascii="Garamond" w:hAnsi="Garamond"/>
          <w:sz w:val="20"/>
          <w:szCs w:val="20"/>
          <w:lang w:val="en-GB"/>
        </w:rPr>
      </w:pPr>
      <w:r w:rsidRPr="00C068B1">
        <w:rPr>
          <w:rFonts w:ascii="Garamond" w:hAnsi="Garamond"/>
          <w:sz w:val="22"/>
          <w:szCs w:val="22"/>
          <w:lang w:val="en-GB"/>
        </w:rPr>
        <w:t>Instead of simply listing Section headings of different levels we recommend to let every heading be followed by at least a short passage of text. Please note that</w:t>
      </w:r>
      <w:r w:rsidRPr="00957111">
        <w:rPr>
          <w:rFonts w:ascii="Garamond" w:hAnsi="Garamond"/>
          <w:sz w:val="22"/>
          <w:szCs w:val="22"/>
        </w:rPr>
        <w:t xml:space="preserve"> </w:t>
      </w:r>
      <w:r w:rsidRPr="00C068B1">
        <w:rPr>
          <w:rFonts w:ascii="Garamond" w:hAnsi="Garamond"/>
          <w:sz w:val="22"/>
          <w:szCs w:val="22"/>
          <w:lang w:val="en-GB"/>
        </w:rPr>
        <w:t xml:space="preserve">the first line of text that Instead of simply listing Section headings of different levels we recommend to let every heading be followed by at least a short passage of text. Please note that the first line of text that Instead of simply listing Section headings of different levels we recommend to let every heading be followed by at least a short passage of text. Please note that the first line of text that Instead of simply listing Section headings of different levels we </w:t>
      </w:r>
    </w:p>
    <w:p w14:paraId="07B6C435" w14:textId="77777777" w:rsidR="005B51FD" w:rsidRDefault="005B51FD" w:rsidP="005B51FD">
      <w:pPr>
        <w:widowControl w:val="0"/>
        <w:autoSpaceDE w:val="0"/>
        <w:spacing w:after="120"/>
        <w:jc w:val="both"/>
        <w:rPr>
          <w:rFonts w:ascii="Garamond" w:hAnsi="Garamond"/>
          <w:sz w:val="22"/>
          <w:szCs w:val="22"/>
        </w:rPr>
      </w:pPr>
    </w:p>
    <w:p w14:paraId="0991DB0E" w14:textId="77777777" w:rsidR="005B51FD" w:rsidRPr="00957111" w:rsidRDefault="005B51FD" w:rsidP="005B51FD">
      <w:pPr>
        <w:widowControl w:val="0"/>
        <w:autoSpaceDE w:val="0"/>
        <w:spacing w:after="120"/>
        <w:jc w:val="both"/>
        <w:rPr>
          <w:rFonts w:ascii="Garamond" w:hAnsi="Garamond"/>
          <w:sz w:val="22"/>
          <w:szCs w:val="22"/>
        </w:rPr>
      </w:pPr>
      <w:r w:rsidRPr="00957111">
        <w:rPr>
          <w:rFonts w:ascii="Garamond" w:hAnsi="Garamond"/>
          <w:sz w:val="22"/>
          <w:szCs w:val="22"/>
        </w:rPr>
        <w:t xml:space="preserve">Fig. 1. </w:t>
      </w:r>
      <w:r>
        <w:rPr>
          <w:rFonts w:ascii="Garamond" w:hAnsi="Garamond"/>
          <w:i/>
          <w:sz w:val="22"/>
          <w:szCs w:val="22"/>
        </w:rPr>
        <w:t>Esempio di didascalia, esempio di didascalia esempio di didascalia esempio di didascalia</w:t>
      </w:r>
    </w:p>
    <w:p w14:paraId="3B8D6B99" w14:textId="77777777" w:rsidR="005B51FD" w:rsidRDefault="005B51FD" w:rsidP="005B51FD">
      <w:pPr>
        <w:pStyle w:val="Maintext"/>
        <w:rPr>
          <w:rFonts w:ascii="Garamond" w:hAnsi="Garamond"/>
          <w:i/>
          <w:sz w:val="22"/>
          <w:szCs w:val="22"/>
          <w:lang w:val="it-IT"/>
        </w:rPr>
      </w:pPr>
      <w:r>
        <w:rPr>
          <w:noProof/>
          <w:sz w:val="20"/>
          <w:lang w:val="it-IT" w:eastAsia="it-IT"/>
        </w:rPr>
        <w:drawing>
          <wp:inline distT="0" distB="0" distL="0" distR="0" wp14:anchorId="26628902" wp14:editId="2D2ECBF3">
            <wp:extent cx="4312920" cy="2695575"/>
            <wp:effectExtent l="25400" t="25400" r="30480" b="222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12920" cy="2695575"/>
                    </a:xfrm>
                    <a:prstGeom prst="rect">
                      <a:avLst/>
                    </a:prstGeom>
                    <a:solidFill>
                      <a:srgbClr val="FFFFFF"/>
                    </a:solidFill>
                    <a:ln w="6350" cmpd="sng">
                      <a:solidFill>
                        <a:schemeClr val="tx1"/>
                      </a:solidFill>
                    </a:ln>
                  </pic:spPr>
                </pic:pic>
              </a:graphicData>
            </a:graphic>
          </wp:inline>
        </w:drawing>
      </w:r>
    </w:p>
    <w:p w14:paraId="3B65994F" w14:textId="77777777" w:rsidR="005B51FD" w:rsidRPr="00957111" w:rsidRDefault="005B51FD" w:rsidP="005B51FD">
      <w:pPr>
        <w:widowControl w:val="0"/>
        <w:suppressAutoHyphens/>
        <w:autoSpaceDE w:val="0"/>
        <w:spacing w:after="360"/>
        <w:rPr>
          <w:rFonts w:ascii="Garamond" w:hAnsi="Garamond"/>
          <w:sz w:val="20"/>
          <w:szCs w:val="20"/>
        </w:rPr>
      </w:pPr>
      <w:r w:rsidRPr="00957111">
        <w:rPr>
          <w:rFonts w:ascii="Garamond" w:hAnsi="Garamond"/>
          <w:sz w:val="20"/>
          <w:szCs w:val="20"/>
        </w:rPr>
        <w:t xml:space="preserve">Fonte: nostre elaborazioni su dati </w:t>
      </w:r>
      <w:r w:rsidRPr="00957111">
        <w:rPr>
          <w:rFonts w:ascii="Garamond" w:hAnsi="Garamond"/>
          <w:smallCaps/>
          <w:sz w:val="20"/>
          <w:szCs w:val="20"/>
        </w:rPr>
        <w:t>Istat</w:t>
      </w:r>
      <w:r w:rsidRPr="00957111">
        <w:rPr>
          <w:rFonts w:ascii="Garamond" w:hAnsi="Garamond"/>
          <w:sz w:val="20"/>
          <w:szCs w:val="20"/>
        </w:rPr>
        <w:t>.</w:t>
      </w:r>
    </w:p>
    <w:p w14:paraId="43B7458A" w14:textId="77777777" w:rsidR="005B51FD" w:rsidRPr="00C068B1" w:rsidRDefault="005B51FD" w:rsidP="005B51FD">
      <w:pPr>
        <w:pStyle w:val="Maintext"/>
        <w:rPr>
          <w:rFonts w:ascii="Garamond" w:hAnsi="Garamond"/>
          <w:sz w:val="22"/>
          <w:szCs w:val="22"/>
          <w:lang w:val="en-US"/>
        </w:rPr>
      </w:pPr>
      <w:r w:rsidRPr="00C068B1">
        <w:rPr>
          <w:rFonts w:ascii="Garamond" w:hAnsi="Garamond"/>
          <w:sz w:val="22"/>
          <w:szCs w:val="22"/>
          <w:lang w:val="en-US"/>
        </w:rPr>
        <w:t>Instead of simply listing Section headings of different levels we recommend to let every heading be followed by at least a short passage of text</w:t>
      </w:r>
      <w:r w:rsidRPr="00C068B1">
        <w:rPr>
          <w:rFonts w:ascii="Garamond" w:hAnsi="Garamond"/>
          <w:sz w:val="22"/>
          <w:szCs w:val="22"/>
          <w:vertAlign w:val="superscript"/>
          <w:lang w:val="en-US"/>
        </w:rPr>
        <w:t>9</w:t>
      </w:r>
      <w:r w:rsidRPr="00C068B1">
        <w:rPr>
          <w:rFonts w:ascii="Garamond" w:hAnsi="Garamond"/>
          <w:sz w:val="22"/>
          <w:szCs w:val="22"/>
          <w:lang w:val="en-US"/>
        </w:rPr>
        <w:t>. Please note that the first line of text that Instead of simply listing Section headings of different levels we recommend to let every heading be followed by at least a short passage of text. Please note that the first line of text that</w:t>
      </w:r>
    </w:p>
    <w:p w14:paraId="68F390CD" w14:textId="77777777" w:rsidR="005B51FD" w:rsidRPr="00C068B1" w:rsidRDefault="005B51FD" w:rsidP="005B51FD">
      <w:pPr>
        <w:spacing w:after="40"/>
        <w:rPr>
          <w:rFonts w:ascii="Garamond" w:hAnsi="Garamond"/>
          <w:sz w:val="20"/>
          <w:szCs w:val="20"/>
          <w:lang w:val="en-US"/>
        </w:rPr>
      </w:pPr>
    </w:p>
    <w:p w14:paraId="63070839" w14:textId="77777777" w:rsidR="005B51FD" w:rsidRPr="00C068B1" w:rsidRDefault="005B51FD" w:rsidP="005B51FD">
      <w:pPr>
        <w:spacing w:after="40"/>
        <w:rPr>
          <w:rFonts w:ascii="Garamond" w:hAnsi="Garamond"/>
          <w:sz w:val="20"/>
          <w:szCs w:val="20"/>
          <w:lang w:val="en-US"/>
        </w:rPr>
      </w:pPr>
    </w:p>
    <w:p w14:paraId="1FD3674C" w14:textId="77777777" w:rsidR="005B51FD" w:rsidRDefault="005B51FD" w:rsidP="005B51FD">
      <w:pPr>
        <w:spacing w:after="40"/>
        <w:rPr>
          <w:rFonts w:ascii="Garamond" w:hAnsi="Garamond"/>
          <w:sz w:val="20"/>
          <w:szCs w:val="20"/>
        </w:rPr>
      </w:pPr>
    </w:p>
    <w:p w14:paraId="0C2E9A5E" w14:textId="77777777" w:rsidR="005B51FD" w:rsidRPr="00C6746C" w:rsidRDefault="005B51FD" w:rsidP="005B51FD">
      <w:pPr>
        <w:pStyle w:val="Testonotadichiusura"/>
        <w:suppressAutoHyphens/>
        <w:jc w:val="both"/>
        <w:rPr>
          <w:rFonts w:ascii="Garamond" w:hAnsi="Garamond"/>
          <w:sz w:val="18"/>
          <w:szCs w:val="18"/>
        </w:rPr>
      </w:pPr>
      <w:r>
        <w:rPr>
          <w:rStyle w:val="Rimandonotadichiusura"/>
          <w:rFonts w:ascii="Garamond" w:hAnsi="Garamond"/>
          <w:sz w:val="18"/>
          <w:szCs w:val="18"/>
        </w:rPr>
        <w:t>1</w:t>
      </w:r>
      <w:r>
        <w:rPr>
          <w:rFonts w:ascii="Garamond" w:hAnsi="Garamond"/>
          <w:sz w:val="18"/>
          <w:szCs w:val="18"/>
        </w:rPr>
        <w:t xml:space="preserve"> </w:t>
      </w:r>
      <w:r w:rsidRPr="00C6746C">
        <w:rPr>
          <w:rFonts w:ascii="Garamond" w:hAnsi="Garamond"/>
          <w:sz w:val="18"/>
          <w:szCs w:val="18"/>
        </w:rPr>
        <w:t xml:space="preserve">Informazioni più specifiche sull’origine delle </w:t>
      </w:r>
      <w:r w:rsidRPr="00C6746C">
        <w:rPr>
          <w:rFonts w:ascii="Garamond" w:hAnsi="Garamond"/>
          <w:i/>
          <w:sz w:val="18"/>
          <w:szCs w:val="18"/>
        </w:rPr>
        <w:t>Tafeln</w:t>
      </w:r>
      <w:r w:rsidRPr="00C6746C">
        <w:rPr>
          <w:rFonts w:ascii="Garamond" w:hAnsi="Garamond"/>
          <w:sz w:val="18"/>
          <w:szCs w:val="18"/>
        </w:rPr>
        <w:t xml:space="preserve"> e sui dati demografici sono in Rossi, Fanolla (2012). </w:t>
      </w:r>
    </w:p>
    <w:p w14:paraId="72E4ADC2" w14:textId="77777777" w:rsidR="005B51FD" w:rsidRPr="00C6746C" w:rsidRDefault="005B51FD" w:rsidP="005B51FD">
      <w:pPr>
        <w:pStyle w:val="Testonotadichiusura"/>
        <w:suppressAutoHyphens/>
        <w:jc w:val="both"/>
        <w:rPr>
          <w:rFonts w:ascii="Garamond" w:hAnsi="Garamond"/>
          <w:sz w:val="18"/>
          <w:szCs w:val="18"/>
        </w:rPr>
      </w:pPr>
      <w:r>
        <w:rPr>
          <w:rStyle w:val="Rimandonotadichiusura"/>
          <w:rFonts w:ascii="Garamond" w:hAnsi="Garamond"/>
          <w:sz w:val="18"/>
          <w:szCs w:val="18"/>
        </w:rPr>
        <w:t>2</w:t>
      </w:r>
      <w:r w:rsidRPr="00C6746C">
        <w:rPr>
          <w:rFonts w:ascii="Garamond" w:hAnsi="Garamond"/>
          <w:sz w:val="18"/>
          <w:szCs w:val="18"/>
        </w:rPr>
        <w:t xml:space="preserve"> Per la storia dell’Impero Austriaco si vedano Sked (1993), Kann (1998), Bérenger (2003). </w:t>
      </w:r>
    </w:p>
    <w:p w14:paraId="49EAF2B9" w14:textId="77777777" w:rsidR="005B51FD" w:rsidRPr="00C6746C" w:rsidRDefault="005B51FD" w:rsidP="005B51FD">
      <w:pPr>
        <w:pStyle w:val="Testonotadichiusura"/>
        <w:suppressAutoHyphens/>
        <w:jc w:val="both"/>
        <w:rPr>
          <w:rFonts w:ascii="Garamond" w:hAnsi="Garamond"/>
          <w:sz w:val="18"/>
          <w:szCs w:val="18"/>
        </w:rPr>
      </w:pPr>
      <w:r>
        <w:rPr>
          <w:rStyle w:val="Rimandonotadichiusura"/>
          <w:rFonts w:ascii="Garamond" w:hAnsi="Garamond"/>
          <w:sz w:val="18"/>
          <w:szCs w:val="18"/>
        </w:rPr>
        <w:t>3</w:t>
      </w:r>
      <w:r w:rsidRPr="00C6746C">
        <w:rPr>
          <w:rFonts w:ascii="Garamond" w:hAnsi="Garamond"/>
          <w:sz w:val="18"/>
          <w:szCs w:val="18"/>
        </w:rPr>
        <w:t xml:space="preserve"> Si sono occupate di questi dati le tesi di laurea di Cavazzina (2009-10) e di Fassinato (2011-12). La verifica delle elaborazioni ha confermato l’ottima qualità dei due lavori.</w:t>
      </w:r>
    </w:p>
    <w:p w14:paraId="556E77CD" w14:textId="77777777" w:rsidR="005B51FD" w:rsidRPr="00C6746C" w:rsidRDefault="005B51FD" w:rsidP="005B51FD">
      <w:pPr>
        <w:pStyle w:val="Testonotadichiusura"/>
        <w:suppressAutoHyphens/>
        <w:jc w:val="both"/>
        <w:rPr>
          <w:rFonts w:ascii="Garamond" w:hAnsi="Garamond"/>
          <w:sz w:val="18"/>
          <w:szCs w:val="18"/>
        </w:rPr>
      </w:pPr>
      <w:r>
        <w:rPr>
          <w:rStyle w:val="Rimandonotadichiusura"/>
          <w:rFonts w:ascii="Garamond" w:hAnsi="Garamond"/>
          <w:sz w:val="18"/>
          <w:szCs w:val="18"/>
        </w:rPr>
        <w:t>4</w:t>
      </w:r>
      <w:r w:rsidRPr="00C6746C">
        <w:rPr>
          <w:rFonts w:ascii="Garamond" w:hAnsi="Garamond"/>
          <w:sz w:val="18"/>
          <w:szCs w:val="18"/>
        </w:rPr>
        <w:t xml:space="preserve"> La tabella 1 riporta i nomi originali in tedesco che si trovano nelle </w:t>
      </w:r>
      <w:r w:rsidRPr="00C6746C">
        <w:rPr>
          <w:rFonts w:ascii="Garamond" w:hAnsi="Garamond"/>
          <w:i/>
          <w:sz w:val="18"/>
          <w:szCs w:val="18"/>
        </w:rPr>
        <w:t>Tafeln</w:t>
      </w:r>
      <w:r w:rsidRPr="00C6746C">
        <w:rPr>
          <w:rFonts w:ascii="Garamond" w:hAnsi="Garamond"/>
          <w:sz w:val="18"/>
          <w:szCs w:val="18"/>
        </w:rPr>
        <w:t xml:space="preserve">; dal 1851 il Tirolo fu indicato come </w:t>
      </w:r>
      <w:r w:rsidRPr="00C6746C">
        <w:rPr>
          <w:rFonts w:ascii="Garamond" w:hAnsi="Garamond"/>
          <w:i/>
          <w:sz w:val="18"/>
          <w:szCs w:val="18"/>
        </w:rPr>
        <w:t>Tirol</w:t>
      </w:r>
      <w:r w:rsidRPr="00C6746C">
        <w:rPr>
          <w:rFonts w:ascii="Garamond" w:hAnsi="Garamond"/>
          <w:sz w:val="18"/>
          <w:szCs w:val="18"/>
        </w:rPr>
        <w:t xml:space="preserve"> </w:t>
      </w:r>
      <w:r w:rsidRPr="00C6746C">
        <w:rPr>
          <w:rFonts w:ascii="Garamond" w:hAnsi="Garamond"/>
          <w:i/>
          <w:snapToGrid w:val="0"/>
          <w:color w:val="000000"/>
          <w:sz w:val="18"/>
          <w:szCs w:val="18"/>
          <w:lang w:val="de-DE"/>
        </w:rPr>
        <w:t>und Vorarlberg</w:t>
      </w:r>
      <w:r w:rsidRPr="00C6746C">
        <w:rPr>
          <w:rFonts w:ascii="Garamond" w:hAnsi="Garamond"/>
          <w:sz w:val="18"/>
          <w:szCs w:val="18"/>
        </w:rPr>
        <w:t xml:space="preserve">, il Litorale con la dizione </w:t>
      </w:r>
      <w:r w:rsidRPr="00C6746C">
        <w:rPr>
          <w:rFonts w:ascii="Garamond" w:hAnsi="Garamond"/>
          <w:i/>
          <w:sz w:val="18"/>
          <w:szCs w:val="18"/>
        </w:rPr>
        <w:t>Görz und Gradisca, Istrien, Triest sammt Gebiet</w:t>
      </w:r>
      <w:r w:rsidRPr="00C6746C">
        <w:rPr>
          <w:rFonts w:ascii="Garamond" w:hAnsi="Garamond"/>
          <w:sz w:val="18"/>
          <w:szCs w:val="18"/>
        </w:rPr>
        <w:t xml:space="preserve">. Se non diversamente indicato, la fonte dei dati utilizzati è costituita dalle </w:t>
      </w:r>
      <w:r w:rsidRPr="00C6746C">
        <w:rPr>
          <w:rFonts w:ascii="Garamond" w:hAnsi="Garamond"/>
          <w:i/>
          <w:sz w:val="18"/>
          <w:szCs w:val="18"/>
        </w:rPr>
        <w:t>Tafeln</w:t>
      </w:r>
      <w:r w:rsidRPr="00C6746C">
        <w:rPr>
          <w:rFonts w:ascii="Garamond" w:hAnsi="Garamond"/>
          <w:sz w:val="18"/>
          <w:szCs w:val="18"/>
        </w:rPr>
        <w:t xml:space="preserve"> o da elaborazioni successive.</w:t>
      </w:r>
    </w:p>
    <w:p w14:paraId="09F6D016" w14:textId="77777777" w:rsidR="005B51FD" w:rsidRPr="00C6746C" w:rsidRDefault="005B51FD" w:rsidP="005B51FD">
      <w:pPr>
        <w:suppressAutoHyphens/>
        <w:autoSpaceDE w:val="0"/>
        <w:autoSpaceDN w:val="0"/>
        <w:adjustRightInd w:val="0"/>
        <w:jc w:val="both"/>
        <w:rPr>
          <w:rFonts w:ascii="Garamond" w:hAnsi="Garamond"/>
          <w:sz w:val="18"/>
          <w:szCs w:val="18"/>
        </w:rPr>
      </w:pPr>
      <w:r>
        <w:rPr>
          <w:rStyle w:val="Rimandonotadichiusura"/>
          <w:rFonts w:ascii="Garamond" w:hAnsi="Garamond"/>
          <w:sz w:val="18"/>
          <w:szCs w:val="18"/>
        </w:rPr>
        <w:t>5</w:t>
      </w:r>
      <w:r w:rsidRPr="00C6746C">
        <w:rPr>
          <w:rFonts w:ascii="Garamond" w:hAnsi="Garamond"/>
          <w:sz w:val="18"/>
          <w:szCs w:val="18"/>
        </w:rPr>
        <w:t xml:space="preserve"> Un censimento era stato tenuto anche nel 1850, ma, interrotto per la guerra contro la Prussia, ripreso e completato nel 1851, aveva dato «risultati </w:t>
      </w:r>
      <w:r w:rsidRPr="00C6746C">
        <w:rPr>
          <w:rFonts w:ascii="Garamond" w:hAnsi="Garamond" w:cs="TimesNewRomanPSMT"/>
          <w:sz w:val="18"/>
          <w:szCs w:val="18"/>
        </w:rPr>
        <w:t xml:space="preserve">meno precisi e pertanto meno utili di quanto ci si potesse aspettare»: questo il </w:t>
      </w:r>
      <w:r w:rsidRPr="00C6746C">
        <w:rPr>
          <w:rFonts w:ascii="Garamond" w:hAnsi="Garamond"/>
          <w:sz w:val="18"/>
          <w:szCs w:val="18"/>
        </w:rPr>
        <w:t xml:space="preserve">commento nell’introduzione al censimento 1857 (Rossi, 2012). </w:t>
      </w:r>
    </w:p>
    <w:p w14:paraId="5C99A2F3" w14:textId="77777777" w:rsidR="005B51FD" w:rsidRPr="00C6746C" w:rsidRDefault="005B51FD" w:rsidP="005B51FD">
      <w:pPr>
        <w:pStyle w:val="Testonotadichiusura"/>
        <w:suppressAutoHyphens/>
        <w:jc w:val="both"/>
        <w:rPr>
          <w:rFonts w:ascii="Garamond" w:hAnsi="Garamond"/>
          <w:sz w:val="18"/>
          <w:szCs w:val="18"/>
        </w:rPr>
      </w:pPr>
      <w:r>
        <w:rPr>
          <w:rStyle w:val="Rimandonotadichiusura"/>
          <w:rFonts w:ascii="Garamond" w:hAnsi="Garamond"/>
          <w:sz w:val="18"/>
          <w:szCs w:val="18"/>
        </w:rPr>
        <w:t>6</w:t>
      </w:r>
      <w:r w:rsidRPr="00C6746C">
        <w:rPr>
          <w:rFonts w:ascii="Garamond" w:hAnsi="Garamond"/>
          <w:sz w:val="18"/>
          <w:szCs w:val="18"/>
        </w:rPr>
        <w:t xml:space="preserve"> Nella tabella 1 la percentuale di persone che lavorano in Agricoltura include le categorie: </w:t>
      </w:r>
      <w:r w:rsidRPr="00C6746C">
        <w:rPr>
          <w:rFonts w:ascii="Garamond" w:hAnsi="Garamond"/>
          <w:i/>
          <w:sz w:val="18"/>
          <w:szCs w:val="18"/>
        </w:rPr>
        <w:t>proprietari terrieri</w:t>
      </w:r>
      <w:r w:rsidRPr="00C6746C">
        <w:rPr>
          <w:rFonts w:ascii="Garamond" w:hAnsi="Garamond"/>
          <w:sz w:val="18"/>
          <w:szCs w:val="18"/>
        </w:rPr>
        <w:t xml:space="preserve">, </w:t>
      </w:r>
      <w:r w:rsidRPr="00C6746C">
        <w:rPr>
          <w:rFonts w:ascii="Garamond" w:hAnsi="Garamond"/>
          <w:i/>
          <w:sz w:val="18"/>
          <w:szCs w:val="18"/>
        </w:rPr>
        <w:t>braccianti agricoli</w:t>
      </w:r>
      <w:r w:rsidRPr="00C6746C">
        <w:rPr>
          <w:rFonts w:ascii="Garamond" w:hAnsi="Garamond"/>
          <w:sz w:val="18"/>
          <w:szCs w:val="18"/>
        </w:rPr>
        <w:t xml:space="preserve">, </w:t>
      </w:r>
      <w:r w:rsidRPr="00C6746C">
        <w:rPr>
          <w:rFonts w:ascii="Garamond" w:hAnsi="Garamond"/>
          <w:i/>
          <w:sz w:val="18"/>
          <w:szCs w:val="18"/>
        </w:rPr>
        <w:t>lavoratori giornalieri</w:t>
      </w:r>
      <w:r w:rsidRPr="00C6746C">
        <w:rPr>
          <w:rFonts w:ascii="Garamond" w:hAnsi="Garamond"/>
          <w:sz w:val="18"/>
          <w:szCs w:val="18"/>
        </w:rPr>
        <w:t>, ed è calcolata su una popolazione che potremmo considerare attiva (adulti con qualche lavoro, ma escluse le donne). I proprietari erano molto diffusi nel Tirolo, Litorale e Dalmazia (tra il 25 e il 30% degli attivi), i giornalieri in Lombardia, Veneto, Tirolo (15-20%). Per ulteriori indicazioni si rimanda a Krmac (2008).</w:t>
      </w:r>
    </w:p>
    <w:p w14:paraId="0D0D1EA5" w14:textId="77777777" w:rsidR="005B51FD" w:rsidRPr="00C6746C" w:rsidRDefault="005B51FD" w:rsidP="005B51FD">
      <w:pPr>
        <w:pStyle w:val="Testonotadichiusura"/>
        <w:suppressAutoHyphens/>
        <w:jc w:val="both"/>
        <w:rPr>
          <w:rFonts w:ascii="Garamond" w:hAnsi="Garamond"/>
          <w:sz w:val="18"/>
          <w:szCs w:val="18"/>
        </w:rPr>
      </w:pPr>
      <w:r>
        <w:rPr>
          <w:rStyle w:val="Rimandonotadichiusura"/>
          <w:rFonts w:ascii="Garamond" w:hAnsi="Garamond"/>
          <w:sz w:val="18"/>
          <w:szCs w:val="18"/>
        </w:rPr>
        <w:t>7</w:t>
      </w:r>
      <w:r w:rsidRPr="00C6746C">
        <w:rPr>
          <w:rFonts w:ascii="Garamond" w:hAnsi="Garamond"/>
          <w:sz w:val="18"/>
          <w:szCs w:val="18"/>
        </w:rPr>
        <w:t xml:space="preserve"> Delle regioni qui esaminate solo alcune possono contare su studi specifici sulla popolazione nel corso del secolo XIX (Del Panta 1985; 1996). La più studiata è forse il Veneto (Rossi, Rosina 1998; poi ripreso in Dalla Zuanna, Rosina, Rossi 2004). Per Veneto e Tirolo, con dati di questa stessa fonte, si veda anche il più recente Rossi, Fanolla (2011). </w:t>
      </w:r>
    </w:p>
    <w:p w14:paraId="4B5D55AA" w14:textId="77777777" w:rsidR="005B51FD" w:rsidRPr="00C6746C" w:rsidRDefault="005B51FD" w:rsidP="005B51FD">
      <w:pPr>
        <w:pStyle w:val="Testonotadichiusura"/>
        <w:suppressAutoHyphens/>
        <w:jc w:val="both"/>
        <w:rPr>
          <w:rFonts w:ascii="Garamond" w:hAnsi="Garamond"/>
          <w:sz w:val="18"/>
          <w:szCs w:val="18"/>
        </w:rPr>
      </w:pPr>
      <w:r>
        <w:rPr>
          <w:rStyle w:val="Rimandonotadichiusura"/>
          <w:rFonts w:ascii="Garamond" w:hAnsi="Garamond"/>
          <w:sz w:val="18"/>
          <w:szCs w:val="18"/>
        </w:rPr>
        <w:t>8</w:t>
      </w:r>
      <w:r w:rsidRPr="00C6746C">
        <w:rPr>
          <w:rFonts w:ascii="Garamond" w:hAnsi="Garamond"/>
          <w:sz w:val="18"/>
          <w:szCs w:val="18"/>
        </w:rPr>
        <w:t xml:space="preserve"> I giudizi sulla qualità dei dati delle </w:t>
      </w:r>
      <w:r w:rsidRPr="00C6746C">
        <w:rPr>
          <w:rFonts w:ascii="Garamond" w:hAnsi="Garamond"/>
          <w:i/>
          <w:sz w:val="18"/>
          <w:szCs w:val="18"/>
        </w:rPr>
        <w:t>Tafeln</w:t>
      </w:r>
      <w:r w:rsidRPr="00C6746C">
        <w:rPr>
          <w:rFonts w:ascii="Garamond" w:hAnsi="Garamond"/>
          <w:sz w:val="18"/>
          <w:szCs w:val="18"/>
        </w:rPr>
        <w:t xml:space="preserve"> sono piuttosto controversi: molto critici Berengo (1963) come pure Zaninelli (1963); più equilibrato è il giudizio più recente di Leonardi (2005); tuttavia essi si riferiscono a variabili di carattere economico, e in particolare su quelle concernenti l’agricoltura. Non segnala particolari cautele invece Cvrcek (2013), citato nel seguito, che nel suo lavoro ha usato dati economici presi da varie fonti dell’epoca, tra cui proprio le </w:t>
      </w:r>
      <w:r w:rsidRPr="00C6746C">
        <w:rPr>
          <w:rFonts w:ascii="Garamond" w:hAnsi="Garamond"/>
          <w:i/>
          <w:sz w:val="18"/>
          <w:szCs w:val="18"/>
        </w:rPr>
        <w:t>Tafeln</w:t>
      </w:r>
      <w:r w:rsidRPr="00C6746C">
        <w:rPr>
          <w:rFonts w:ascii="Garamond" w:hAnsi="Garamond"/>
          <w:sz w:val="18"/>
          <w:szCs w:val="18"/>
        </w:rPr>
        <w:t>. Non sembrano esserci invece commenti sulla qualità dei dati demografici, effettivamente poco utilizzati.</w:t>
      </w:r>
    </w:p>
    <w:p w14:paraId="56AC3DA9" w14:textId="77777777" w:rsidR="005B51FD" w:rsidRPr="00C6746C" w:rsidRDefault="005B51FD" w:rsidP="005B51FD">
      <w:pPr>
        <w:pStyle w:val="Testonotadichiusura"/>
        <w:suppressAutoHyphens/>
        <w:jc w:val="both"/>
        <w:rPr>
          <w:rFonts w:ascii="Garamond" w:hAnsi="Garamond"/>
          <w:sz w:val="18"/>
          <w:szCs w:val="18"/>
        </w:rPr>
      </w:pPr>
      <w:r>
        <w:rPr>
          <w:rStyle w:val="Rimandonotadichiusura"/>
          <w:rFonts w:ascii="Garamond" w:hAnsi="Garamond"/>
          <w:sz w:val="18"/>
          <w:szCs w:val="18"/>
        </w:rPr>
        <w:t>9</w:t>
      </w:r>
      <w:r w:rsidRPr="00C6746C">
        <w:rPr>
          <w:rFonts w:ascii="Garamond" w:hAnsi="Garamond"/>
          <w:sz w:val="18"/>
          <w:szCs w:val="18"/>
        </w:rPr>
        <w:t xml:space="preserve"> Le classi di età fino al 1851 erano le seguenti: 0-1, 1-4, 4-20, 20-40, 40-60, 60-80, 80-100, 100 e più. L’interruzione si deve al fatto che l’ultimo volume, edito nel 1868 e riferito agli anni 1860-1865, conteneva dati dettagliati per il 1865, ma solo dati riassuntivi per i cinque anni precedenti.</w:t>
      </w:r>
    </w:p>
    <w:p w14:paraId="28C6739B" w14:textId="77777777" w:rsidR="005B51FD" w:rsidRDefault="005B51FD" w:rsidP="005B51FD">
      <w:pPr>
        <w:pStyle w:val="References"/>
        <w:spacing w:before="0" w:after="40"/>
        <w:rPr>
          <w:rFonts w:ascii="Calibri" w:hAnsi="Calibri"/>
          <w:sz w:val="20"/>
        </w:rPr>
      </w:pPr>
    </w:p>
    <w:p w14:paraId="604DDAC5" w14:textId="77777777" w:rsidR="005B51FD" w:rsidRDefault="005B51FD" w:rsidP="005B51FD">
      <w:pPr>
        <w:pStyle w:val="References"/>
        <w:spacing w:before="0" w:after="40"/>
        <w:rPr>
          <w:rFonts w:ascii="Calibri" w:hAnsi="Calibri"/>
          <w:sz w:val="20"/>
        </w:rPr>
      </w:pPr>
    </w:p>
    <w:p w14:paraId="25CEB320" w14:textId="77777777" w:rsidR="005B51FD" w:rsidRDefault="005B51FD" w:rsidP="005B51FD">
      <w:pPr>
        <w:pStyle w:val="References"/>
        <w:spacing w:before="0" w:after="40"/>
        <w:rPr>
          <w:rFonts w:ascii="Calibri" w:hAnsi="Calibri"/>
          <w:sz w:val="20"/>
        </w:rPr>
      </w:pPr>
    </w:p>
    <w:p w14:paraId="05BA9A43" w14:textId="77777777" w:rsidR="005B51FD" w:rsidRPr="00861061" w:rsidRDefault="005B51FD" w:rsidP="005B51FD">
      <w:pPr>
        <w:pStyle w:val="References"/>
        <w:spacing w:before="0" w:after="40"/>
        <w:rPr>
          <w:rFonts w:ascii="Calibri" w:hAnsi="Calibri"/>
          <w:sz w:val="20"/>
        </w:rPr>
      </w:pPr>
      <w:r w:rsidRPr="00861061">
        <w:rPr>
          <w:rFonts w:ascii="Calibri" w:hAnsi="Calibri"/>
          <w:sz w:val="20"/>
        </w:rPr>
        <w:t>Riferimenti archivistici</w:t>
      </w:r>
    </w:p>
    <w:p w14:paraId="62BCA254" w14:textId="77777777" w:rsidR="005B51FD" w:rsidRPr="00C375B5" w:rsidRDefault="005B51FD" w:rsidP="005B51FD">
      <w:pPr>
        <w:spacing w:after="40"/>
        <w:rPr>
          <w:rFonts w:ascii="Garamond" w:hAnsi="Garamond"/>
          <w:sz w:val="20"/>
          <w:szCs w:val="20"/>
        </w:rPr>
      </w:pPr>
      <w:r w:rsidRPr="00C375B5">
        <w:rPr>
          <w:rFonts w:ascii="Garamond" w:hAnsi="Garamond"/>
          <w:smallCaps/>
          <w:sz w:val="20"/>
          <w:szCs w:val="20"/>
        </w:rPr>
        <w:t>Ahn</w:t>
      </w:r>
      <w:r w:rsidRPr="00C375B5">
        <w:rPr>
          <w:rFonts w:ascii="Garamond" w:hAnsi="Garamond"/>
          <w:sz w:val="20"/>
          <w:szCs w:val="20"/>
        </w:rPr>
        <w:tab/>
        <w:t>Madrid, Archivo Histórico Nacional</w:t>
      </w:r>
    </w:p>
    <w:p w14:paraId="79AC4DE0" w14:textId="77777777" w:rsidR="005B51FD" w:rsidRPr="00C375B5" w:rsidRDefault="005B51FD" w:rsidP="005B51FD">
      <w:pPr>
        <w:rPr>
          <w:rFonts w:ascii="Garamond" w:hAnsi="Garamond"/>
          <w:spacing w:val="-1"/>
          <w:sz w:val="20"/>
          <w:szCs w:val="20"/>
        </w:rPr>
      </w:pPr>
      <w:r w:rsidRPr="00C375B5">
        <w:rPr>
          <w:rFonts w:ascii="Garamond" w:hAnsi="Garamond"/>
          <w:smallCaps/>
          <w:spacing w:val="-1"/>
          <w:sz w:val="20"/>
          <w:szCs w:val="20"/>
        </w:rPr>
        <w:t>Asn</w:t>
      </w:r>
      <w:r w:rsidRPr="00C375B5">
        <w:rPr>
          <w:rFonts w:ascii="Garamond" w:hAnsi="Garamond"/>
          <w:spacing w:val="-1"/>
          <w:sz w:val="20"/>
          <w:szCs w:val="20"/>
        </w:rPr>
        <w:tab/>
        <w:t>Napoli, Archivio di Stato</w:t>
      </w:r>
    </w:p>
    <w:p w14:paraId="623470A6" w14:textId="77777777" w:rsidR="005B51FD" w:rsidRPr="00C375B5" w:rsidRDefault="005B51FD" w:rsidP="005B51FD">
      <w:pPr>
        <w:rPr>
          <w:rFonts w:ascii="Garamond" w:hAnsi="Garamond"/>
          <w:spacing w:val="-2"/>
          <w:sz w:val="20"/>
          <w:szCs w:val="20"/>
        </w:rPr>
      </w:pPr>
      <w:r w:rsidRPr="00C375B5">
        <w:rPr>
          <w:rFonts w:ascii="Garamond" w:hAnsi="Garamond"/>
          <w:smallCaps/>
          <w:spacing w:val="-1"/>
          <w:sz w:val="20"/>
          <w:szCs w:val="20"/>
        </w:rPr>
        <w:t>Snsp</w:t>
      </w:r>
      <w:r w:rsidRPr="00C375B5">
        <w:rPr>
          <w:rFonts w:ascii="Garamond" w:hAnsi="Garamond"/>
          <w:spacing w:val="-2"/>
          <w:sz w:val="20"/>
          <w:szCs w:val="20"/>
        </w:rPr>
        <w:tab/>
        <w:t>Napoli, Società Napoletana di Storia Patria</w:t>
      </w:r>
    </w:p>
    <w:p w14:paraId="10D28E43" w14:textId="77777777" w:rsidR="005B51FD" w:rsidRPr="00C375B5" w:rsidRDefault="005B51FD" w:rsidP="005B51FD">
      <w:pPr>
        <w:rPr>
          <w:rFonts w:ascii="Garamond" w:hAnsi="Garamond"/>
          <w:sz w:val="20"/>
          <w:szCs w:val="20"/>
        </w:rPr>
      </w:pPr>
    </w:p>
    <w:p w14:paraId="78A860C6" w14:textId="77777777" w:rsidR="005B51FD" w:rsidRPr="00C375B5" w:rsidRDefault="005B51FD" w:rsidP="005B51FD">
      <w:pPr>
        <w:rPr>
          <w:rFonts w:ascii="Garamond" w:hAnsi="Garamond"/>
          <w:b/>
          <w:sz w:val="20"/>
          <w:szCs w:val="20"/>
        </w:rPr>
      </w:pPr>
      <w:r w:rsidRPr="00C375B5">
        <w:rPr>
          <w:rFonts w:ascii="Garamond" w:hAnsi="Garamond"/>
          <w:smallCaps/>
          <w:sz w:val="20"/>
          <w:szCs w:val="20"/>
        </w:rPr>
        <w:t>Ahn</w:t>
      </w:r>
      <w:r w:rsidRPr="00C375B5">
        <w:rPr>
          <w:rFonts w:ascii="Garamond" w:hAnsi="Garamond"/>
          <w:sz w:val="20"/>
          <w:szCs w:val="20"/>
        </w:rPr>
        <w:t>-1:</w:t>
      </w:r>
      <w:r w:rsidRPr="00C375B5">
        <w:rPr>
          <w:rFonts w:ascii="Garamond" w:hAnsi="Garamond"/>
          <w:sz w:val="20"/>
          <w:szCs w:val="20"/>
        </w:rPr>
        <w:tab/>
      </w:r>
      <w:r w:rsidRPr="00C375B5">
        <w:rPr>
          <w:rFonts w:ascii="Garamond" w:hAnsi="Garamond"/>
          <w:smallCaps/>
          <w:sz w:val="20"/>
          <w:szCs w:val="20"/>
        </w:rPr>
        <w:t>Ahn</w:t>
      </w:r>
      <w:r w:rsidRPr="00C375B5">
        <w:rPr>
          <w:rFonts w:ascii="Garamond" w:hAnsi="Garamond"/>
          <w:sz w:val="20"/>
          <w:szCs w:val="20"/>
        </w:rPr>
        <w:t xml:space="preserve">, </w:t>
      </w:r>
      <w:r w:rsidRPr="00C375B5">
        <w:rPr>
          <w:rFonts w:ascii="Garamond" w:hAnsi="Garamond"/>
          <w:i/>
          <w:iCs/>
          <w:sz w:val="20"/>
          <w:szCs w:val="20"/>
        </w:rPr>
        <w:t>Estado</w:t>
      </w:r>
      <w:r w:rsidRPr="00C375B5">
        <w:rPr>
          <w:rFonts w:ascii="Garamond" w:hAnsi="Garamond"/>
          <w:sz w:val="20"/>
          <w:szCs w:val="20"/>
        </w:rPr>
        <w:t>.</w:t>
      </w:r>
    </w:p>
    <w:p w14:paraId="6E959439" w14:textId="77777777" w:rsidR="005B51FD" w:rsidRPr="00C375B5" w:rsidRDefault="005B51FD" w:rsidP="005B51FD">
      <w:pPr>
        <w:rPr>
          <w:rFonts w:ascii="Garamond" w:hAnsi="Garamond"/>
          <w:spacing w:val="-3"/>
          <w:sz w:val="20"/>
          <w:szCs w:val="20"/>
        </w:rPr>
      </w:pPr>
    </w:p>
    <w:p w14:paraId="7B643821" w14:textId="77777777" w:rsidR="005B51FD" w:rsidRPr="00C375B5" w:rsidRDefault="005B51FD" w:rsidP="005B51FD">
      <w:pPr>
        <w:pStyle w:val="Testonotaapidipagina"/>
        <w:rPr>
          <w:rFonts w:ascii="Garamond" w:hAnsi="Garamond"/>
        </w:rPr>
      </w:pPr>
      <w:r w:rsidRPr="00C375B5">
        <w:rPr>
          <w:rFonts w:ascii="Garamond" w:hAnsi="Garamond"/>
          <w:smallCaps/>
        </w:rPr>
        <w:t>Asn</w:t>
      </w:r>
      <w:r w:rsidRPr="00C375B5">
        <w:rPr>
          <w:rFonts w:ascii="Garamond" w:hAnsi="Garamond"/>
        </w:rPr>
        <w:t>-1:</w:t>
      </w:r>
      <w:r w:rsidRPr="00C375B5">
        <w:rPr>
          <w:rFonts w:ascii="Garamond" w:hAnsi="Garamond"/>
        </w:rPr>
        <w:tab/>
      </w:r>
      <w:r w:rsidRPr="00C375B5">
        <w:rPr>
          <w:rFonts w:ascii="Garamond" w:hAnsi="Garamond"/>
          <w:smallCaps/>
        </w:rPr>
        <w:t>Asn</w:t>
      </w:r>
      <w:r w:rsidRPr="00C375B5">
        <w:rPr>
          <w:rFonts w:ascii="Garamond" w:hAnsi="Garamond"/>
        </w:rPr>
        <w:t xml:space="preserve">, </w:t>
      </w:r>
      <w:r w:rsidRPr="00C375B5">
        <w:rPr>
          <w:rFonts w:ascii="Garamond" w:hAnsi="Garamond"/>
          <w:i/>
        </w:rPr>
        <w:t>Segreteria del viceré</w:t>
      </w:r>
      <w:r w:rsidRPr="00C375B5">
        <w:rPr>
          <w:rFonts w:ascii="Garamond" w:hAnsi="Garamond"/>
        </w:rPr>
        <w:t xml:space="preserve">, </w:t>
      </w:r>
      <w:r w:rsidRPr="00C375B5">
        <w:rPr>
          <w:rFonts w:ascii="Garamond" w:hAnsi="Garamond"/>
          <w:i/>
        </w:rPr>
        <w:t>Scritture diverse</w:t>
      </w:r>
      <w:r w:rsidRPr="00C375B5">
        <w:rPr>
          <w:rFonts w:ascii="Garamond" w:hAnsi="Garamond"/>
        </w:rPr>
        <w:t>.</w:t>
      </w:r>
    </w:p>
    <w:p w14:paraId="4ECA39B5" w14:textId="77777777" w:rsidR="005B51FD" w:rsidRPr="00C375B5" w:rsidRDefault="005B51FD" w:rsidP="005B51FD">
      <w:pPr>
        <w:pStyle w:val="Testonotaapidipagina"/>
        <w:rPr>
          <w:rFonts w:ascii="Garamond" w:hAnsi="Garamond"/>
          <w:spacing w:val="-3"/>
        </w:rPr>
      </w:pPr>
      <w:r w:rsidRPr="00C375B5">
        <w:rPr>
          <w:rFonts w:ascii="Garamond" w:hAnsi="Garamond"/>
          <w:smallCaps/>
        </w:rPr>
        <w:t>Asn</w:t>
      </w:r>
      <w:r w:rsidRPr="00C375B5">
        <w:rPr>
          <w:rFonts w:ascii="Garamond" w:hAnsi="Garamond"/>
        </w:rPr>
        <w:t>-2:</w:t>
      </w:r>
      <w:r w:rsidRPr="00C375B5">
        <w:rPr>
          <w:rFonts w:ascii="Garamond" w:hAnsi="Garamond"/>
        </w:rPr>
        <w:tab/>
      </w:r>
      <w:r w:rsidRPr="00C375B5">
        <w:rPr>
          <w:rFonts w:ascii="Garamond" w:hAnsi="Garamond"/>
          <w:smallCaps/>
        </w:rPr>
        <w:t>Asn</w:t>
      </w:r>
      <w:r w:rsidRPr="00C375B5">
        <w:rPr>
          <w:rFonts w:ascii="Garamond" w:hAnsi="Garamond"/>
        </w:rPr>
        <w:t xml:space="preserve">, </w:t>
      </w:r>
      <w:r w:rsidRPr="00C375B5">
        <w:rPr>
          <w:rFonts w:ascii="Garamond" w:hAnsi="Garamond"/>
          <w:i/>
          <w:iCs/>
        </w:rPr>
        <w:t>Regio Collaterale Consiglio</w:t>
      </w:r>
      <w:r w:rsidRPr="00C375B5">
        <w:rPr>
          <w:rFonts w:ascii="Garamond" w:hAnsi="Garamond"/>
        </w:rPr>
        <w:t xml:space="preserve">, </w:t>
      </w:r>
      <w:r w:rsidRPr="00C375B5">
        <w:rPr>
          <w:rFonts w:ascii="Garamond" w:hAnsi="Garamond"/>
          <w:i/>
          <w:iCs/>
        </w:rPr>
        <w:t>Curiae</w:t>
      </w:r>
      <w:r w:rsidRPr="00C375B5">
        <w:rPr>
          <w:rFonts w:ascii="Garamond" w:hAnsi="Garamond"/>
        </w:rPr>
        <w:t>.</w:t>
      </w:r>
    </w:p>
    <w:p w14:paraId="3F14A800" w14:textId="77777777" w:rsidR="005B51FD" w:rsidRPr="00C375B5" w:rsidRDefault="005B51FD" w:rsidP="005B51FD">
      <w:pPr>
        <w:rPr>
          <w:rFonts w:ascii="Garamond" w:hAnsi="Garamond"/>
          <w:spacing w:val="-2"/>
          <w:sz w:val="20"/>
          <w:szCs w:val="20"/>
        </w:rPr>
      </w:pPr>
      <w:r w:rsidRPr="00C375B5">
        <w:rPr>
          <w:rFonts w:ascii="Garamond" w:hAnsi="Garamond"/>
          <w:smallCaps/>
          <w:sz w:val="20"/>
          <w:szCs w:val="20"/>
        </w:rPr>
        <w:t>Asn</w:t>
      </w:r>
      <w:r w:rsidRPr="00C375B5">
        <w:rPr>
          <w:rFonts w:ascii="Garamond" w:hAnsi="Garamond"/>
          <w:spacing w:val="-2"/>
          <w:sz w:val="20"/>
          <w:szCs w:val="20"/>
        </w:rPr>
        <w:t>-3:</w:t>
      </w:r>
      <w:r w:rsidRPr="00C375B5">
        <w:rPr>
          <w:rFonts w:ascii="Garamond" w:hAnsi="Garamond"/>
          <w:spacing w:val="-2"/>
          <w:sz w:val="20"/>
          <w:szCs w:val="20"/>
        </w:rPr>
        <w:tab/>
      </w:r>
      <w:r w:rsidRPr="00C375B5">
        <w:rPr>
          <w:rFonts w:ascii="Garamond" w:hAnsi="Garamond"/>
          <w:smallCaps/>
          <w:sz w:val="20"/>
          <w:szCs w:val="20"/>
        </w:rPr>
        <w:t>Asn</w:t>
      </w:r>
      <w:r w:rsidRPr="00C375B5">
        <w:rPr>
          <w:rFonts w:ascii="Garamond" w:hAnsi="Garamond"/>
          <w:spacing w:val="-2"/>
          <w:sz w:val="20"/>
          <w:szCs w:val="20"/>
        </w:rPr>
        <w:t xml:space="preserve">, </w:t>
      </w:r>
      <w:r w:rsidRPr="00C375B5">
        <w:rPr>
          <w:rFonts w:ascii="Garamond" w:hAnsi="Garamond"/>
          <w:i/>
          <w:iCs/>
          <w:spacing w:val="-2"/>
          <w:sz w:val="20"/>
          <w:szCs w:val="20"/>
        </w:rPr>
        <w:t>Regio Collaterale Consiglio</w:t>
      </w:r>
      <w:r w:rsidRPr="00C375B5">
        <w:rPr>
          <w:rFonts w:ascii="Garamond" w:hAnsi="Garamond"/>
          <w:spacing w:val="-2"/>
          <w:sz w:val="20"/>
          <w:szCs w:val="20"/>
        </w:rPr>
        <w:t xml:space="preserve">, </w:t>
      </w:r>
      <w:r w:rsidRPr="00C375B5">
        <w:rPr>
          <w:rFonts w:ascii="Garamond" w:hAnsi="Garamond"/>
          <w:i/>
          <w:iCs/>
          <w:spacing w:val="-2"/>
          <w:sz w:val="20"/>
          <w:szCs w:val="20"/>
        </w:rPr>
        <w:t>Affari diversi II</w:t>
      </w:r>
      <w:r w:rsidRPr="00C375B5">
        <w:rPr>
          <w:rFonts w:ascii="Garamond" w:hAnsi="Garamond"/>
          <w:spacing w:val="-2"/>
          <w:sz w:val="20"/>
          <w:szCs w:val="20"/>
        </w:rPr>
        <w:t>.</w:t>
      </w:r>
    </w:p>
    <w:p w14:paraId="167DDA46" w14:textId="77777777" w:rsidR="005B51FD" w:rsidRPr="00C375B5" w:rsidRDefault="005B51FD" w:rsidP="005B51FD">
      <w:pPr>
        <w:rPr>
          <w:rFonts w:ascii="Garamond" w:hAnsi="Garamond"/>
          <w:spacing w:val="-2"/>
          <w:sz w:val="20"/>
          <w:szCs w:val="20"/>
        </w:rPr>
      </w:pPr>
      <w:r w:rsidRPr="00C375B5">
        <w:rPr>
          <w:rFonts w:ascii="Garamond" w:hAnsi="Garamond"/>
          <w:smallCaps/>
          <w:sz w:val="20"/>
          <w:szCs w:val="20"/>
        </w:rPr>
        <w:t>Asn</w:t>
      </w:r>
      <w:r w:rsidRPr="00C375B5">
        <w:rPr>
          <w:rFonts w:ascii="Garamond" w:hAnsi="Garamond"/>
          <w:sz w:val="20"/>
          <w:szCs w:val="20"/>
        </w:rPr>
        <w:t>-4:</w:t>
      </w:r>
      <w:r w:rsidRPr="00C375B5">
        <w:rPr>
          <w:rFonts w:ascii="Garamond" w:hAnsi="Garamond"/>
          <w:sz w:val="20"/>
          <w:szCs w:val="20"/>
        </w:rPr>
        <w:tab/>
      </w:r>
      <w:r w:rsidRPr="00C375B5">
        <w:rPr>
          <w:rFonts w:ascii="Garamond" w:hAnsi="Garamond"/>
          <w:smallCaps/>
          <w:sz w:val="20"/>
          <w:szCs w:val="20"/>
        </w:rPr>
        <w:t>Asn</w:t>
      </w:r>
      <w:r w:rsidRPr="00C375B5">
        <w:rPr>
          <w:rFonts w:ascii="Garamond" w:hAnsi="Garamond"/>
          <w:sz w:val="20"/>
          <w:szCs w:val="20"/>
        </w:rPr>
        <w:t xml:space="preserve">, </w:t>
      </w:r>
      <w:r w:rsidRPr="00C375B5">
        <w:rPr>
          <w:rFonts w:ascii="Garamond" w:hAnsi="Garamond"/>
          <w:i/>
          <w:iCs/>
          <w:sz w:val="20"/>
          <w:szCs w:val="20"/>
        </w:rPr>
        <w:t>Regio Collaterale Consiglio</w:t>
      </w:r>
      <w:r w:rsidRPr="00C375B5">
        <w:rPr>
          <w:rFonts w:ascii="Garamond" w:hAnsi="Garamond"/>
          <w:sz w:val="20"/>
          <w:szCs w:val="20"/>
        </w:rPr>
        <w:t xml:space="preserve">, </w:t>
      </w:r>
      <w:r w:rsidRPr="00C375B5">
        <w:rPr>
          <w:rFonts w:ascii="Garamond" w:hAnsi="Garamond"/>
          <w:i/>
          <w:iCs/>
          <w:sz w:val="20"/>
          <w:szCs w:val="20"/>
        </w:rPr>
        <w:t>Partium</w:t>
      </w:r>
      <w:r w:rsidRPr="00C375B5">
        <w:rPr>
          <w:rFonts w:ascii="Garamond" w:hAnsi="Garamond"/>
          <w:sz w:val="20"/>
          <w:szCs w:val="20"/>
        </w:rPr>
        <w:t>.</w:t>
      </w:r>
    </w:p>
    <w:p w14:paraId="752B73D6" w14:textId="77777777" w:rsidR="005B51FD" w:rsidRPr="00C375B5" w:rsidRDefault="005B51FD" w:rsidP="005B51FD">
      <w:pPr>
        <w:rPr>
          <w:rFonts w:ascii="Garamond" w:hAnsi="Garamond"/>
          <w:spacing w:val="-3"/>
          <w:sz w:val="20"/>
          <w:szCs w:val="20"/>
        </w:rPr>
      </w:pPr>
    </w:p>
    <w:p w14:paraId="1F07D2BA" w14:textId="77777777" w:rsidR="005B51FD" w:rsidRPr="00C375B5" w:rsidRDefault="005B51FD" w:rsidP="005B51FD">
      <w:pPr>
        <w:rPr>
          <w:rFonts w:ascii="Garamond" w:hAnsi="Garamond"/>
          <w:b/>
          <w:sz w:val="20"/>
          <w:szCs w:val="20"/>
        </w:rPr>
      </w:pPr>
      <w:r w:rsidRPr="00C375B5">
        <w:rPr>
          <w:rFonts w:ascii="Garamond" w:hAnsi="Garamond"/>
          <w:smallCaps/>
          <w:spacing w:val="-3"/>
          <w:sz w:val="20"/>
          <w:szCs w:val="20"/>
        </w:rPr>
        <w:t>Snsp</w:t>
      </w:r>
      <w:r w:rsidRPr="00C375B5">
        <w:rPr>
          <w:rFonts w:ascii="Garamond" w:hAnsi="Garamond"/>
          <w:spacing w:val="-3"/>
          <w:sz w:val="20"/>
          <w:szCs w:val="20"/>
        </w:rPr>
        <w:t>-1:</w:t>
      </w:r>
      <w:r w:rsidRPr="00C375B5">
        <w:rPr>
          <w:rFonts w:ascii="Garamond" w:hAnsi="Garamond"/>
          <w:spacing w:val="-3"/>
          <w:sz w:val="20"/>
          <w:szCs w:val="20"/>
        </w:rPr>
        <w:tab/>
      </w:r>
      <w:r w:rsidRPr="00C375B5">
        <w:rPr>
          <w:rFonts w:ascii="Garamond" w:hAnsi="Garamond"/>
          <w:smallCaps/>
          <w:spacing w:val="-3"/>
          <w:sz w:val="20"/>
          <w:szCs w:val="20"/>
        </w:rPr>
        <w:t>Snsp</w:t>
      </w:r>
      <w:r w:rsidRPr="00C375B5">
        <w:rPr>
          <w:rFonts w:ascii="Garamond" w:hAnsi="Garamond"/>
          <w:spacing w:val="-3"/>
          <w:sz w:val="20"/>
          <w:szCs w:val="20"/>
        </w:rPr>
        <w:t xml:space="preserve">, </w:t>
      </w:r>
      <w:r w:rsidRPr="00C375B5">
        <w:rPr>
          <w:rFonts w:ascii="Garamond" w:hAnsi="Garamond"/>
          <w:spacing w:val="-2"/>
          <w:sz w:val="20"/>
          <w:szCs w:val="20"/>
        </w:rPr>
        <w:t>ms. XXVI.D.5 (</w:t>
      </w:r>
      <w:r w:rsidRPr="00C375B5">
        <w:rPr>
          <w:rFonts w:ascii="Garamond" w:hAnsi="Garamond"/>
          <w:spacing w:val="-3"/>
          <w:sz w:val="20"/>
          <w:szCs w:val="20"/>
        </w:rPr>
        <w:t>G. Campanile</w:t>
      </w:r>
      <w:r w:rsidRPr="00C375B5">
        <w:rPr>
          <w:rFonts w:ascii="Garamond" w:hAnsi="Garamond"/>
          <w:smallCaps/>
          <w:spacing w:val="-3"/>
          <w:sz w:val="20"/>
          <w:szCs w:val="20"/>
        </w:rPr>
        <w:t>,</w:t>
      </w:r>
      <w:r w:rsidRPr="00C375B5">
        <w:rPr>
          <w:rFonts w:ascii="Garamond" w:hAnsi="Garamond"/>
          <w:spacing w:val="-2"/>
          <w:sz w:val="20"/>
          <w:szCs w:val="20"/>
        </w:rPr>
        <w:t xml:space="preserve"> </w:t>
      </w:r>
      <w:r w:rsidRPr="00C375B5">
        <w:rPr>
          <w:rFonts w:ascii="Garamond" w:hAnsi="Garamond"/>
          <w:i/>
          <w:iCs/>
          <w:spacing w:val="-2"/>
          <w:sz w:val="20"/>
          <w:szCs w:val="20"/>
        </w:rPr>
        <w:t>Cose degne di memoria della città di Napoli</w:t>
      </w:r>
      <w:r w:rsidRPr="00C375B5">
        <w:rPr>
          <w:rFonts w:ascii="Garamond" w:hAnsi="Garamond"/>
          <w:spacing w:val="-2"/>
          <w:sz w:val="20"/>
          <w:szCs w:val="20"/>
        </w:rPr>
        <w:t>).</w:t>
      </w:r>
    </w:p>
    <w:p w14:paraId="0A2BF853" w14:textId="77777777" w:rsidR="005B51FD" w:rsidRPr="00C375B5" w:rsidRDefault="005B51FD" w:rsidP="005B51FD">
      <w:pPr>
        <w:jc w:val="both"/>
        <w:rPr>
          <w:rFonts w:ascii="Garamond" w:hAnsi="Garamond"/>
          <w:spacing w:val="-3"/>
          <w:sz w:val="20"/>
          <w:szCs w:val="20"/>
        </w:rPr>
      </w:pPr>
      <w:r w:rsidRPr="00C375B5">
        <w:rPr>
          <w:rFonts w:ascii="Garamond" w:hAnsi="Garamond"/>
          <w:smallCaps/>
          <w:spacing w:val="-3"/>
          <w:sz w:val="20"/>
          <w:szCs w:val="20"/>
        </w:rPr>
        <w:t>Snsp</w:t>
      </w:r>
      <w:r w:rsidRPr="00C375B5">
        <w:rPr>
          <w:rFonts w:ascii="Garamond" w:hAnsi="Garamond"/>
          <w:spacing w:val="-3"/>
          <w:sz w:val="20"/>
          <w:szCs w:val="20"/>
        </w:rPr>
        <w:t>-2:</w:t>
      </w:r>
      <w:r w:rsidRPr="00C375B5">
        <w:rPr>
          <w:rFonts w:ascii="Garamond" w:hAnsi="Garamond"/>
          <w:spacing w:val="-3"/>
          <w:sz w:val="20"/>
          <w:szCs w:val="20"/>
        </w:rPr>
        <w:tab/>
      </w:r>
      <w:r w:rsidRPr="00C375B5">
        <w:rPr>
          <w:rFonts w:ascii="Garamond" w:hAnsi="Garamond"/>
          <w:smallCaps/>
          <w:spacing w:val="-3"/>
          <w:sz w:val="20"/>
          <w:szCs w:val="20"/>
        </w:rPr>
        <w:t>Snsp</w:t>
      </w:r>
      <w:r w:rsidRPr="00C375B5">
        <w:rPr>
          <w:rFonts w:ascii="Garamond" w:hAnsi="Garamond"/>
          <w:spacing w:val="-2"/>
          <w:sz w:val="20"/>
          <w:szCs w:val="20"/>
        </w:rPr>
        <w:t xml:space="preserve">, ms. XXIII.D.14 (A. Rubino, </w:t>
      </w:r>
      <w:r w:rsidRPr="00C375B5">
        <w:rPr>
          <w:rFonts w:ascii="Garamond" w:hAnsi="Garamond"/>
          <w:i/>
          <w:iCs/>
          <w:spacing w:val="-2"/>
          <w:sz w:val="20"/>
          <w:szCs w:val="20"/>
        </w:rPr>
        <w:t>Notitia di quanto è occorso in Napoli dall’anno 1648 per tutto l’anno 1657</w:t>
      </w:r>
      <w:r w:rsidRPr="00C375B5">
        <w:rPr>
          <w:rFonts w:ascii="Garamond" w:hAnsi="Garamond"/>
          <w:spacing w:val="-2"/>
          <w:sz w:val="20"/>
          <w:szCs w:val="20"/>
        </w:rPr>
        <w:t>, tomo I).</w:t>
      </w:r>
    </w:p>
    <w:p w14:paraId="53E237F5" w14:textId="77777777" w:rsidR="005B51FD" w:rsidRDefault="005B51FD" w:rsidP="005B51FD">
      <w:pPr>
        <w:pStyle w:val="References"/>
        <w:spacing w:before="0" w:after="0"/>
        <w:rPr>
          <w:rFonts w:ascii="Calibri" w:hAnsi="Calibri"/>
          <w:sz w:val="20"/>
        </w:rPr>
      </w:pPr>
    </w:p>
    <w:p w14:paraId="28898780" w14:textId="77777777" w:rsidR="005B51FD" w:rsidRDefault="005B51FD" w:rsidP="005B51FD">
      <w:pPr>
        <w:pStyle w:val="References"/>
        <w:spacing w:before="0" w:after="0"/>
        <w:rPr>
          <w:rFonts w:ascii="Calibri" w:hAnsi="Calibri"/>
          <w:sz w:val="20"/>
        </w:rPr>
      </w:pPr>
    </w:p>
    <w:p w14:paraId="3F1FF6A4" w14:textId="77777777" w:rsidR="005B51FD" w:rsidRDefault="005B51FD" w:rsidP="005B51FD">
      <w:pPr>
        <w:pStyle w:val="References"/>
        <w:spacing w:before="0" w:after="0"/>
        <w:rPr>
          <w:rFonts w:ascii="Calibri" w:hAnsi="Calibri"/>
          <w:sz w:val="20"/>
        </w:rPr>
      </w:pPr>
    </w:p>
    <w:p w14:paraId="4845D3CF" w14:textId="77777777" w:rsidR="005B51FD" w:rsidRPr="00861061" w:rsidRDefault="005B51FD" w:rsidP="005B51FD">
      <w:pPr>
        <w:pStyle w:val="References"/>
        <w:spacing w:before="0" w:after="40"/>
        <w:rPr>
          <w:rFonts w:ascii="Calibri" w:hAnsi="Calibri"/>
          <w:sz w:val="20"/>
        </w:rPr>
      </w:pPr>
      <w:r w:rsidRPr="00861061">
        <w:rPr>
          <w:rFonts w:ascii="Calibri" w:hAnsi="Calibri"/>
          <w:sz w:val="20"/>
        </w:rPr>
        <w:t>Riferimenti bibliografici</w:t>
      </w:r>
    </w:p>
    <w:p w14:paraId="39DB8B0F" w14:textId="77777777" w:rsidR="005B51FD" w:rsidRPr="00C375B5" w:rsidRDefault="005B51FD" w:rsidP="005B51FD">
      <w:pPr>
        <w:suppressAutoHyphens/>
        <w:jc w:val="both"/>
        <w:rPr>
          <w:rFonts w:ascii="Garamond" w:hAnsi="Garamond"/>
          <w:sz w:val="20"/>
          <w:szCs w:val="20"/>
          <w:lang w:val="en-US"/>
        </w:rPr>
      </w:pPr>
      <w:r w:rsidRPr="00C375B5">
        <w:rPr>
          <w:rFonts w:ascii="Garamond" w:hAnsi="Garamond"/>
          <w:sz w:val="20"/>
          <w:szCs w:val="20"/>
          <w:lang w:val="en-US"/>
        </w:rPr>
        <w:t xml:space="preserve">B. A’Hearn 2003, </w:t>
      </w:r>
      <w:r w:rsidRPr="00C375B5">
        <w:rPr>
          <w:rFonts w:ascii="Garamond" w:hAnsi="Garamond"/>
          <w:i/>
          <w:sz w:val="20"/>
          <w:szCs w:val="20"/>
          <w:lang w:val="en-US"/>
        </w:rPr>
        <w:t>Anthropometric Evidence on living Standards in Northern Italy, 1730-1860</w:t>
      </w:r>
      <w:r w:rsidRPr="00C375B5">
        <w:rPr>
          <w:rFonts w:ascii="Garamond" w:hAnsi="Garamond"/>
          <w:sz w:val="20"/>
          <w:szCs w:val="20"/>
          <w:lang w:val="en-US"/>
        </w:rPr>
        <w:t xml:space="preserve">, </w:t>
      </w:r>
      <w:r w:rsidRPr="00C375B5">
        <w:rPr>
          <w:rFonts w:ascii="Garamond" w:hAnsi="Garamond"/>
          <w:sz w:val="20"/>
          <w:szCs w:val="20"/>
          <w:lang w:val="en-GB"/>
        </w:rPr>
        <w:t>«The Journal of Economic History», 63, 2, 351-381.</w:t>
      </w:r>
    </w:p>
    <w:p w14:paraId="367296A4" w14:textId="77777777" w:rsidR="005B51FD" w:rsidRPr="00C375B5" w:rsidRDefault="005B51FD" w:rsidP="005B51FD">
      <w:pPr>
        <w:suppressAutoHyphens/>
        <w:jc w:val="both"/>
        <w:rPr>
          <w:rFonts w:ascii="Garamond" w:hAnsi="Garamond"/>
          <w:sz w:val="20"/>
          <w:szCs w:val="20"/>
        </w:rPr>
      </w:pPr>
      <w:r w:rsidRPr="00C375B5">
        <w:rPr>
          <w:rFonts w:ascii="Garamond" w:hAnsi="Garamond"/>
          <w:sz w:val="20"/>
          <w:szCs w:val="20"/>
        </w:rPr>
        <w:t xml:space="preserve">J. Bérenger 2003, </w:t>
      </w:r>
      <w:r w:rsidRPr="00C375B5">
        <w:rPr>
          <w:rFonts w:ascii="Garamond" w:hAnsi="Garamond"/>
          <w:i/>
          <w:sz w:val="20"/>
          <w:szCs w:val="20"/>
        </w:rPr>
        <w:t>Storia dell’impero asburgico, 1700-1918</w:t>
      </w:r>
      <w:r w:rsidRPr="00C375B5">
        <w:rPr>
          <w:rFonts w:ascii="Garamond" w:hAnsi="Garamond"/>
          <w:sz w:val="20"/>
          <w:szCs w:val="20"/>
        </w:rPr>
        <w:t xml:space="preserve">, il Mulino, Bologna (ed. orig. 1990, </w:t>
      </w:r>
      <w:r w:rsidRPr="00C375B5">
        <w:rPr>
          <w:rFonts w:ascii="Garamond" w:hAnsi="Garamond"/>
          <w:i/>
          <w:sz w:val="20"/>
          <w:szCs w:val="20"/>
        </w:rPr>
        <w:t>Histoire de l’empire des Habsbourg</w:t>
      </w:r>
      <w:r w:rsidRPr="00C375B5">
        <w:rPr>
          <w:rFonts w:ascii="Garamond" w:hAnsi="Garamond"/>
          <w:sz w:val="20"/>
          <w:szCs w:val="20"/>
        </w:rPr>
        <w:t>, Fayard, Paris).</w:t>
      </w:r>
    </w:p>
    <w:p w14:paraId="6509E366" w14:textId="77777777" w:rsidR="005B51FD" w:rsidRPr="00C375B5" w:rsidRDefault="005B51FD" w:rsidP="005B51FD">
      <w:pPr>
        <w:suppressAutoHyphens/>
        <w:jc w:val="both"/>
        <w:rPr>
          <w:rFonts w:ascii="Garamond" w:hAnsi="Garamond"/>
          <w:sz w:val="20"/>
          <w:szCs w:val="20"/>
        </w:rPr>
      </w:pPr>
      <w:r w:rsidRPr="00C375B5">
        <w:rPr>
          <w:rFonts w:ascii="Garamond" w:hAnsi="Garamond"/>
          <w:sz w:val="20"/>
          <w:szCs w:val="20"/>
        </w:rPr>
        <w:t xml:space="preserve">M. Berengo 1963, </w:t>
      </w:r>
      <w:r w:rsidRPr="00C375B5">
        <w:rPr>
          <w:rFonts w:ascii="Garamond" w:hAnsi="Garamond"/>
          <w:i/>
          <w:sz w:val="20"/>
          <w:szCs w:val="20"/>
        </w:rPr>
        <w:t>L’agricoltura veneta dalla caduta della Repubblica all’unità</w:t>
      </w:r>
      <w:r w:rsidRPr="00C375B5">
        <w:rPr>
          <w:rFonts w:ascii="Garamond" w:hAnsi="Garamond"/>
          <w:sz w:val="20"/>
          <w:szCs w:val="20"/>
        </w:rPr>
        <w:t>, Banca Commerciale Italiana, Milano.</w:t>
      </w:r>
    </w:p>
    <w:p w14:paraId="4765A761" w14:textId="77777777" w:rsidR="005B51FD" w:rsidRPr="00C375B5" w:rsidRDefault="005B51FD" w:rsidP="005B51FD">
      <w:pPr>
        <w:suppressAutoHyphens/>
        <w:jc w:val="both"/>
        <w:rPr>
          <w:rFonts w:ascii="Garamond" w:hAnsi="Garamond"/>
          <w:sz w:val="20"/>
          <w:szCs w:val="20"/>
        </w:rPr>
      </w:pPr>
      <w:r w:rsidRPr="00C375B5">
        <w:rPr>
          <w:rFonts w:ascii="Garamond" w:hAnsi="Garamond"/>
          <w:sz w:val="20"/>
          <w:szCs w:val="20"/>
        </w:rPr>
        <w:t xml:space="preserve">M. Breschi, L. Pozzi, R. Rettaroli 1994, </w:t>
      </w:r>
      <w:r w:rsidRPr="00C375B5">
        <w:rPr>
          <w:rFonts w:ascii="Garamond" w:hAnsi="Garamond"/>
          <w:i/>
          <w:sz w:val="20"/>
          <w:szCs w:val="20"/>
        </w:rPr>
        <w:t>Analogie differenze nella crescita della popolazione italiana, 1750-1911</w:t>
      </w:r>
      <w:r w:rsidRPr="00C375B5">
        <w:rPr>
          <w:rFonts w:ascii="Garamond" w:hAnsi="Garamond"/>
          <w:sz w:val="20"/>
          <w:szCs w:val="20"/>
        </w:rPr>
        <w:t xml:space="preserve">, «Bollettino di demografia storica», 20, 41-94. </w:t>
      </w:r>
    </w:p>
    <w:p w14:paraId="21D32096" w14:textId="77777777" w:rsidR="005B51FD" w:rsidRPr="00C375B5" w:rsidRDefault="005B51FD" w:rsidP="005B51FD">
      <w:pPr>
        <w:suppressAutoHyphens/>
        <w:jc w:val="both"/>
        <w:rPr>
          <w:rFonts w:ascii="Garamond" w:hAnsi="Garamond"/>
          <w:sz w:val="20"/>
          <w:szCs w:val="20"/>
        </w:rPr>
      </w:pPr>
      <w:r w:rsidRPr="00C375B5">
        <w:rPr>
          <w:rFonts w:ascii="Garamond" w:hAnsi="Garamond"/>
          <w:sz w:val="20"/>
          <w:szCs w:val="20"/>
        </w:rPr>
        <w:t xml:space="preserve">G. Caselli 1990, </w:t>
      </w:r>
      <w:r w:rsidRPr="00C375B5">
        <w:rPr>
          <w:rFonts w:ascii="Garamond" w:hAnsi="Garamond"/>
          <w:i/>
          <w:sz w:val="20"/>
          <w:szCs w:val="20"/>
        </w:rPr>
        <w:t>Mortalità e sopravvivenza in Italia dall’Unità agli anni ’30</w:t>
      </w:r>
      <w:r w:rsidRPr="00C375B5">
        <w:rPr>
          <w:rFonts w:ascii="Garamond" w:hAnsi="Garamond"/>
          <w:sz w:val="20"/>
          <w:szCs w:val="20"/>
        </w:rPr>
        <w:t xml:space="preserve">, in Società Italiana di Demografia Storica, </w:t>
      </w:r>
      <w:r w:rsidRPr="00C375B5">
        <w:rPr>
          <w:rFonts w:ascii="Garamond" w:hAnsi="Garamond"/>
          <w:i/>
          <w:sz w:val="20"/>
          <w:szCs w:val="20"/>
        </w:rPr>
        <w:t>Popolazione, società e ambiente. Temi di demografia storica italiana (secc. XVII-XIX)</w:t>
      </w:r>
      <w:r w:rsidRPr="00C375B5">
        <w:rPr>
          <w:rFonts w:ascii="Garamond" w:hAnsi="Garamond"/>
          <w:sz w:val="20"/>
          <w:szCs w:val="20"/>
        </w:rPr>
        <w:t xml:space="preserve">, </w:t>
      </w:r>
      <w:r w:rsidRPr="00C375B5">
        <w:rPr>
          <w:rFonts w:ascii="Garamond" w:hAnsi="Garamond"/>
          <w:smallCaps/>
          <w:sz w:val="20"/>
          <w:szCs w:val="20"/>
        </w:rPr>
        <w:t>Clueb</w:t>
      </w:r>
      <w:r w:rsidRPr="00C375B5">
        <w:rPr>
          <w:rFonts w:ascii="Garamond" w:hAnsi="Garamond"/>
          <w:sz w:val="20"/>
          <w:szCs w:val="20"/>
        </w:rPr>
        <w:t>, Bologna, 275-309.</w:t>
      </w:r>
    </w:p>
    <w:p w14:paraId="3B95E6FF" w14:textId="77777777" w:rsidR="005B51FD" w:rsidRPr="00C375B5" w:rsidRDefault="005B51FD" w:rsidP="005B51FD">
      <w:pPr>
        <w:suppressAutoHyphens/>
        <w:jc w:val="both"/>
        <w:rPr>
          <w:rFonts w:ascii="Garamond" w:hAnsi="Garamond"/>
          <w:sz w:val="20"/>
          <w:szCs w:val="20"/>
        </w:rPr>
      </w:pPr>
      <w:r w:rsidRPr="00C375B5">
        <w:rPr>
          <w:rFonts w:ascii="Garamond" w:hAnsi="Garamond"/>
          <w:sz w:val="20"/>
          <w:szCs w:val="20"/>
        </w:rPr>
        <w:t xml:space="preserve">P. Castiglioni 1862, </w:t>
      </w:r>
      <w:r w:rsidRPr="00C375B5">
        <w:rPr>
          <w:rFonts w:ascii="Garamond" w:hAnsi="Garamond"/>
          <w:i/>
          <w:sz w:val="20"/>
          <w:szCs w:val="20"/>
        </w:rPr>
        <w:t>Relazione generale con una introduzione storica sopra i censimenti delle popolazioni italiane dai tempi antichi sino all’anno 1860</w:t>
      </w:r>
      <w:r w:rsidRPr="00C375B5">
        <w:rPr>
          <w:rFonts w:ascii="Garamond" w:hAnsi="Garamond"/>
          <w:sz w:val="20"/>
          <w:szCs w:val="20"/>
        </w:rPr>
        <w:t xml:space="preserve">, in </w:t>
      </w:r>
      <w:r w:rsidRPr="00C375B5">
        <w:rPr>
          <w:rFonts w:ascii="Garamond" w:hAnsi="Garamond"/>
          <w:smallCaps/>
          <w:sz w:val="20"/>
          <w:szCs w:val="20"/>
        </w:rPr>
        <w:t>Maic</w:t>
      </w:r>
      <w:r w:rsidRPr="00C375B5">
        <w:rPr>
          <w:rFonts w:ascii="Garamond" w:hAnsi="Garamond"/>
          <w:sz w:val="20"/>
          <w:szCs w:val="20"/>
        </w:rPr>
        <w:t xml:space="preserve">, </w:t>
      </w:r>
      <w:r w:rsidRPr="00C375B5">
        <w:rPr>
          <w:rFonts w:ascii="Garamond" w:hAnsi="Garamond"/>
          <w:i/>
          <w:sz w:val="20"/>
          <w:szCs w:val="20"/>
        </w:rPr>
        <w:t>Statistica del Regno d’Italia. Popolazione. Censimento degli antichi Stati Sardi (1° Gennaio 1858), e censimenti di Lombardia, di Parma e di Modena (1857-58)</w:t>
      </w:r>
      <w:r w:rsidRPr="00C375B5">
        <w:rPr>
          <w:rFonts w:ascii="Garamond" w:hAnsi="Garamond"/>
          <w:sz w:val="20"/>
          <w:szCs w:val="20"/>
        </w:rPr>
        <w:t>, 1, Stamperia Reale, Torino.</w:t>
      </w:r>
    </w:p>
    <w:p w14:paraId="00CB8993" w14:textId="77777777" w:rsidR="005B51FD" w:rsidRPr="00C375B5" w:rsidRDefault="005B51FD" w:rsidP="005B51FD">
      <w:pPr>
        <w:suppressAutoHyphens/>
        <w:jc w:val="both"/>
        <w:rPr>
          <w:rFonts w:ascii="Garamond" w:hAnsi="Garamond"/>
          <w:sz w:val="20"/>
          <w:szCs w:val="20"/>
        </w:rPr>
      </w:pPr>
      <w:r w:rsidRPr="00C375B5">
        <w:rPr>
          <w:rFonts w:ascii="Garamond" w:hAnsi="Garamond"/>
          <w:sz w:val="20"/>
          <w:szCs w:val="20"/>
        </w:rPr>
        <w:t xml:space="preserve">R. Cavazzina 2009-10, </w:t>
      </w:r>
      <w:r w:rsidRPr="00C375B5">
        <w:rPr>
          <w:rFonts w:ascii="Garamond" w:hAnsi="Garamond"/>
          <w:i/>
          <w:sz w:val="20"/>
          <w:szCs w:val="20"/>
        </w:rPr>
        <w:t xml:space="preserve">La popolazione di alcuni </w:t>
      </w:r>
      <w:r w:rsidRPr="00C375B5">
        <w:rPr>
          <w:rFonts w:ascii="Garamond" w:hAnsi="Garamond"/>
          <w:sz w:val="20"/>
          <w:szCs w:val="20"/>
        </w:rPr>
        <w:t>Länder</w:t>
      </w:r>
      <w:r w:rsidRPr="00C375B5">
        <w:rPr>
          <w:rFonts w:ascii="Garamond" w:hAnsi="Garamond"/>
          <w:i/>
          <w:sz w:val="20"/>
          <w:szCs w:val="20"/>
        </w:rPr>
        <w:t xml:space="preserve"> secondo le </w:t>
      </w:r>
      <w:r w:rsidRPr="00C375B5">
        <w:rPr>
          <w:rFonts w:ascii="Garamond" w:hAnsi="Garamond"/>
          <w:sz w:val="20"/>
          <w:szCs w:val="20"/>
        </w:rPr>
        <w:t>Tafeln</w:t>
      </w:r>
      <w:r w:rsidRPr="00C375B5">
        <w:rPr>
          <w:rFonts w:ascii="Garamond" w:hAnsi="Garamond"/>
          <w:i/>
          <w:sz w:val="20"/>
          <w:szCs w:val="20"/>
        </w:rPr>
        <w:t xml:space="preserve"> (1828-1865)</w:t>
      </w:r>
      <w:r w:rsidRPr="00C375B5">
        <w:rPr>
          <w:rFonts w:ascii="Garamond" w:hAnsi="Garamond"/>
          <w:sz w:val="20"/>
          <w:szCs w:val="20"/>
        </w:rPr>
        <w:t>, Università di Padova, Facoltà di Scienze statistiche, tesi di laurea specialistica in Scienze statistiche, demografiche e sociali, relatore prof. Fiorenzo Rossi, Padova.</w:t>
      </w:r>
    </w:p>
    <w:p w14:paraId="1B698414" w14:textId="77777777" w:rsidR="005B51FD" w:rsidRPr="00C375B5" w:rsidRDefault="005B51FD" w:rsidP="005B51FD">
      <w:pPr>
        <w:suppressAutoHyphens/>
        <w:jc w:val="both"/>
        <w:rPr>
          <w:rFonts w:ascii="Garamond" w:hAnsi="Garamond"/>
          <w:sz w:val="20"/>
          <w:szCs w:val="20"/>
          <w:lang w:val="en-GB"/>
        </w:rPr>
      </w:pPr>
      <w:r w:rsidRPr="00C375B5">
        <w:rPr>
          <w:rFonts w:ascii="Garamond" w:hAnsi="Garamond"/>
          <w:sz w:val="20"/>
          <w:szCs w:val="20"/>
          <w:lang w:val="en-GB"/>
        </w:rPr>
        <w:t xml:space="preserve">A.J. Coale, P. Demeny 1983, </w:t>
      </w:r>
      <w:r w:rsidRPr="00C375B5">
        <w:rPr>
          <w:rFonts w:ascii="Garamond" w:hAnsi="Garamond"/>
          <w:i/>
          <w:sz w:val="20"/>
          <w:szCs w:val="20"/>
          <w:lang w:val="en-GB"/>
        </w:rPr>
        <w:t>Regional Life Tables and Stable Populations. Second Edition</w:t>
      </w:r>
      <w:r w:rsidRPr="00C375B5">
        <w:rPr>
          <w:rFonts w:ascii="Garamond" w:hAnsi="Garamond"/>
          <w:sz w:val="20"/>
          <w:szCs w:val="20"/>
          <w:lang w:val="en-GB"/>
        </w:rPr>
        <w:t>, Academic Press, New York (1</w:t>
      </w:r>
      <w:r w:rsidRPr="00C375B5">
        <w:rPr>
          <w:rFonts w:ascii="Garamond" w:hAnsi="Garamond"/>
          <w:sz w:val="20"/>
          <w:szCs w:val="20"/>
          <w:vertAlign w:val="superscript"/>
          <w:lang w:val="en-GB"/>
        </w:rPr>
        <w:t>a</w:t>
      </w:r>
      <w:r w:rsidRPr="00C375B5">
        <w:rPr>
          <w:rFonts w:ascii="Garamond" w:hAnsi="Garamond"/>
          <w:sz w:val="20"/>
          <w:szCs w:val="20"/>
          <w:lang w:val="en-GB"/>
        </w:rPr>
        <w:t xml:space="preserve"> ed. 1996, Princeton University Press, Princeton, </w:t>
      </w:r>
      <w:r w:rsidRPr="00C375B5">
        <w:rPr>
          <w:rFonts w:ascii="Garamond" w:hAnsi="Garamond"/>
          <w:smallCaps/>
          <w:sz w:val="20"/>
          <w:szCs w:val="20"/>
          <w:lang w:val="en-GB"/>
        </w:rPr>
        <w:t>Nj</w:t>
      </w:r>
      <w:r w:rsidRPr="00C375B5">
        <w:rPr>
          <w:rFonts w:ascii="Garamond" w:hAnsi="Garamond"/>
          <w:sz w:val="20"/>
          <w:szCs w:val="20"/>
          <w:lang w:val="en-GB"/>
        </w:rPr>
        <w:t>).</w:t>
      </w:r>
    </w:p>
    <w:p w14:paraId="39FCA52B" w14:textId="77777777" w:rsidR="005B51FD" w:rsidRPr="00C375B5" w:rsidRDefault="005B51FD" w:rsidP="005B51FD">
      <w:pPr>
        <w:suppressAutoHyphens/>
        <w:jc w:val="both"/>
        <w:rPr>
          <w:rFonts w:ascii="Garamond" w:hAnsi="Garamond"/>
          <w:i/>
          <w:sz w:val="20"/>
          <w:szCs w:val="20"/>
        </w:rPr>
      </w:pPr>
      <w:r w:rsidRPr="00C375B5">
        <w:rPr>
          <w:rFonts w:ascii="Garamond" w:hAnsi="Garamond"/>
          <w:sz w:val="20"/>
          <w:szCs w:val="20"/>
        </w:rPr>
        <w:t xml:space="preserve">G. Dalla Zuanna, A. Rosina, F. </w:t>
      </w:r>
      <w:r w:rsidRPr="00C375B5">
        <w:rPr>
          <w:rFonts w:ascii="Garamond" w:eastAsia="MS Mincho" w:hAnsi="Garamond"/>
          <w:iCs/>
          <w:sz w:val="20"/>
          <w:szCs w:val="20"/>
        </w:rPr>
        <w:t xml:space="preserve">Rossi (a cura di) 2004, </w:t>
      </w:r>
      <w:r w:rsidRPr="00C375B5">
        <w:rPr>
          <w:rFonts w:ascii="Garamond" w:hAnsi="Garamond"/>
          <w:i/>
          <w:sz w:val="20"/>
          <w:szCs w:val="20"/>
        </w:rPr>
        <w:t>Il Veneto. Storia della popolazione dalla caduta di Venezia ad oggi</w:t>
      </w:r>
      <w:r w:rsidRPr="00C375B5">
        <w:rPr>
          <w:rFonts w:ascii="Garamond" w:hAnsi="Garamond"/>
          <w:sz w:val="20"/>
          <w:szCs w:val="20"/>
        </w:rPr>
        <w:t>, Marsilio, Venezia.</w:t>
      </w:r>
      <w:r w:rsidRPr="00C375B5">
        <w:rPr>
          <w:rFonts w:ascii="Garamond" w:hAnsi="Garamond"/>
          <w:i/>
          <w:sz w:val="20"/>
          <w:szCs w:val="20"/>
        </w:rPr>
        <w:t xml:space="preserve"> </w:t>
      </w:r>
    </w:p>
    <w:p w14:paraId="2C5946EA" w14:textId="77777777" w:rsidR="005B51FD" w:rsidRPr="00C375B5" w:rsidRDefault="005B51FD" w:rsidP="005B51FD">
      <w:pPr>
        <w:suppressAutoHyphens/>
        <w:jc w:val="both"/>
        <w:rPr>
          <w:rFonts w:ascii="Garamond" w:hAnsi="Garamond"/>
          <w:iCs/>
          <w:sz w:val="20"/>
          <w:szCs w:val="20"/>
          <w:lang w:val="en-GB"/>
        </w:rPr>
      </w:pPr>
      <w:r w:rsidRPr="00C375B5">
        <w:rPr>
          <w:rFonts w:ascii="Garamond" w:hAnsi="Garamond"/>
          <w:i/>
          <w:iCs/>
          <w:sz w:val="20"/>
          <w:szCs w:val="20"/>
          <w:lang w:val="en-GB"/>
        </w:rPr>
        <w:t>Human Mortality Data Base</w:t>
      </w:r>
      <w:r w:rsidRPr="00C375B5">
        <w:rPr>
          <w:rFonts w:ascii="Garamond" w:hAnsi="Garamond"/>
          <w:iCs/>
          <w:sz w:val="20"/>
          <w:szCs w:val="20"/>
          <w:lang w:val="en-GB"/>
        </w:rPr>
        <w:t>. University of California, Berkeley (</w:t>
      </w:r>
      <w:r w:rsidRPr="00C375B5">
        <w:rPr>
          <w:rFonts w:ascii="Garamond" w:hAnsi="Garamond"/>
          <w:iCs/>
          <w:smallCaps/>
          <w:sz w:val="20"/>
          <w:szCs w:val="20"/>
          <w:lang w:val="en-GB"/>
        </w:rPr>
        <w:t>Usa</w:t>
      </w:r>
      <w:r w:rsidRPr="00C375B5">
        <w:rPr>
          <w:rFonts w:ascii="Garamond" w:hAnsi="Garamond"/>
          <w:iCs/>
          <w:sz w:val="20"/>
          <w:szCs w:val="20"/>
          <w:lang w:val="en-GB"/>
        </w:rPr>
        <w:t xml:space="preserve">), and Max Planck Institute for Demographic Research (Germany). Disponibile presso </w:t>
      </w:r>
      <w:r w:rsidRPr="00C375B5">
        <w:rPr>
          <w:rFonts w:ascii="Garamond" w:hAnsi="Garamond"/>
          <w:i/>
          <w:iCs/>
          <w:sz w:val="20"/>
          <w:szCs w:val="20"/>
          <w:lang w:val="en-GB"/>
        </w:rPr>
        <w:t>www.mortality.org</w:t>
      </w:r>
      <w:r w:rsidRPr="00C375B5">
        <w:rPr>
          <w:rFonts w:ascii="Garamond" w:hAnsi="Garamond"/>
          <w:iCs/>
          <w:sz w:val="20"/>
          <w:szCs w:val="20"/>
          <w:lang w:val="en-GB"/>
        </w:rPr>
        <w:t xml:space="preserve"> o </w:t>
      </w:r>
      <w:r w:rsidRPr="00C375B5">
        <w:rPr>
          <w:rFonts w:ascii="Garamond" w:hAnsi="Garamond"/>
          <w:i/>
          <w:iCs/>
          <w:sz w:val="20"/>
          <w:szCs w:val="20"/>
          <w:lang w:val="en-GB"/>
        </w:rPr>
        <w:t>www.humanmortality.de</w:t>
      </w:r>
      <w:r w:rsidRPr="00C375B5">
        <w:rPr>
          <w:rFonts w:ascii="Garamond" w:hAnsi="Garamond"/>
          <w:iCs/>
          <w:sz w:val="20"/>
          <w:szCs w:val="20"/>
          <w:lang w:val="en-GB"/>
        </w:rPr>
        <w:t>.</w:t>
      </w:r>
    </w:p>
    <w:p w14:paraId="78024A88" w14:textId="77777777" w:rsidR="005B51FD" w:rsidRDefault="005B51FD" w:rsidP="005B51FD">
      <w:pPr>
        <w:rPr>
          <w:rFonts w:ascii="Garamond" w:hAnsi="Garamond"/>
          <w:sz w:val="20"/>
          <w:szCs w:val="20"/>
        </w:rPr>
      </w:pPr>
    </w:p>
    <w:p w14:paraId="0AF24735" w14:textId="77777777" w:rsidR="005B51FD" w:rsidRDefault="005B51FD" w:rsidP="005B51FD">
      <w:pPr>
        <w:rPr>
          <w:rFonts w:ascii="Garamond" w:hAnsi="Garamond"/>
          <w:sz w:val="20"/>
          <w:szCs w:val="20"/>
        </w:rPr>
      </w:pPr>
    </w:p>
    <w:p w14:paraId="0BA28337" w14:textId="77777777" w:rsidR="005B51FD" w:rsidRDefault="005B51FD" w:rsidP="005B51FD">
      <w:pPr>
        <w:rPr>
          <w:rFonts w:ascii="Garamond" w:hAnsi="Garamond"/>
          <w:sz w:val="20"/>
          <w:szCs w:val="20"/>
        </w:rPr>
      </w:pPr>
    </w:p>
    <w:p w14:paraId="749088FA" w14:textId="77777777" w:rsidR="005B51FD" w:rsidRPr="004D6245" w:rsidRDefault="005B51FD" w:rsidP="005B51FD">
      <w:pPr>
        <w:spacing w:after="40"/>
        <w:jc w:val="center"/>
        <w:rPr>
          <w:rFonts w:ascii="Calibri" w:hAnsi="Calibri"/>
          <w:b/>
          <w:sz w:val="20"/>
          <w:szCs w:val="20"/>
        </w:rPr>
      </w:pPr>
      <w:r w:rsidRPr="004D6245">
        <w:rPr>
          <w:rFonts w:ascii="Calibri" w:hAnsi="Calibri"/>
          <w:b/>
          <w:sz w:val="20"/>
          <w:szCs w:val="20"/>
        </w:rPr>
        <w:t>Riassunto</w:t>
      </w:r>
    </w:p>
    <w:p w14:paraId="67E3E145" w14:textId="77777777" w:rsidR="005B51FD" w:rsidRPr="00C375B5" w:rsidRDefault="005B51FD" w:rsidP="005B51FD">
      <w:pPr>
        <w:spacing w:after="40"/>
        <w:rPr>
          <w:rFonts w:ascii="Garamond" w:hAnsi="Garamond"/>
          <w:i/>
          <w:sz w:val="20"/>
          <w:szCs w:val="20"/>
        </w:rPr>
      </w:pPr>
      <w:r w:rsidRPr="00C375B5">
        <w:rPr>
          <w:rFonts w:ascii="Garamond" w:hAnsi="Garamond"/>
          <w:i/>
          <w:sz w:val="20"/>
          <w:szCs w:val="20"/>
        </w:rPr>
        <w:t xml:space="preserve">La mortalità in alcuni </w:t>
      </w:r>
      <w:r w:rsidRPr="00C375B5">
        <w:rPr>
          <w:rFonts w:ascii="Garamond" w:hAnsi="Garamond"/>
          <w:sz w:val="20"/>
          <w:szCs w:val="20"/>
        </w:rPr>
        <w:t>Länder</w:t>
      </w:r>
      <w:r w:rsidRPr="00C375B5">
        <w:rPr>
          <w:rFonts w:ascii="Garamond" w:hAnsi="Garamond"/>
          <w:i/>
          <w:sz w:val="20"/>
          <w:szCs w:val="20"/>
        </w:rPr>
        <w:t xml:space="preserve"> dell’Impero austriaco a metà Ottocento</w:t>
      </w:r>
    </w:p>
    <w:p w14:paraId="2C45F70C" w14:textId="77777777" w:rsidR="005B51FD" w:rsidRPr="00C375B5" w:rsidRDefault="005B51FD" w:rsidP="005B51FD">
      <w:pPr>
        <w:jc w:val="both"/>
        <w:rPr>
          <w:rFonts w:ascii="Garamond" w:hAnsi="Garamond"/>
          <w:sz w:val="20"/>
          <w:szCs w:val="20"/>
        </w:rPr>
      </w:pPr>
      <w:r w:rsidRPr="00C375B5">
        <w:rPr>
          <w:rFonts w:ascii="Garamond" w:hAnsi="Garamond"/>
          <w:sz w:val="20"/>
          <w:szCs w:val="20"/>
        </w:rPr>
        <w:t xml:space="preserve">Per lo studio della mortalità in alcuni </w:t>
      </w:r>
      <w:r w:rsidRPr="00C375B5">
        <w:rPr>
          <w:rFonts w:ascii="Garamond" w:hAnsi="Garamond"/>
          <w:i/>
          <w:sz w:val="20"/>
          <w:szCs w:val="20"/>
        </w:rPr>
        <w:t>Länder</w:t>
      </w:r>
      <w:r w:rsidRPr="00C375B5">
        <w:rPr>
          <w:rFonts w:ascii="Garamond" w:hAnsi="Garamond"/>
          <w:sz w:val="20"/>
          <w:szCs w:val="20"/>
        </w:rPr>
        <w:t xml:space="preserve"> dell’Impero austriaco viene utilizzata una fonte edita tra il 1829 e il 1871, le </w:t>
      </w:r>
      <w:r w:rsidRPr="00C375B5">
        <w:rPr>
          <w:rFonts w:ascii="Garamond" w:hAnsi="Garamond"/>
          <w:i/>
          <w:sz w:val="20"/>
          <w:szCs w:val="20"/>
        </w:rPr>
        <w:t>Tafeln</w:t>
      </w:r>
      <w:r w:rsidRPr="00C375B5">
        <w:rPr>
          <w:rFonts w:ascii="Garamond" w:hAnsi="Garamond"/>
          <w:sz w:val="20"/>
          <w:szCs w:val="20"/>
        </w:rPr>
        <w:t xml:space="preserve"> </w:t>
      </w:r>
      <w:r w:rsidRPr="00C375B5">
        <w:rPr>
          <w:rFonts w:ascii="Garamond" w:hAnsi="Garamond"/>
          <w:i/>
          <w:sz w:val="20"/>
          <w:szCs w:val="20"/>
        </w:rPr>
        <w:t>zur Statistik der Österreichischen Monarchie</w:t>
      </w:r>
      <w:r w:rsidRPr="00C375B5">
        <w:rPr>
          <w:rFonts w:ascii="Garamond" w:hAnsi="Garamond"/>
          <w:sz w:val="20"/>
          <w:szCs w:val="20"/>
        </w:rPr>
        <w:t xml:space="preserve">, che riporta anche alcuni dati sulla popolazione. Tali informazioni venivano fornite dalle autorità militari o da quelle civili, mentre i dati sul movimento naturale erano raccolti dai parroci. È così possibile avere la serie dei tassi di mortalità, mortalità infantile, natalità e incremento naturale tra il 1828 e il 1865. Tra il 1851 e il 1859 i dati sui decessi pubblicati per sesso e singolo anno di età consentono di costruire Tavole di mortalità con il metodo di Halley generalizzato. I risultati sono molto buoni o buoni per quattro regioni (Lombardia, Veneto, Tirolo, Litorale), non buoni invece per la Dalmazia, a causa probabilmente della cattiva qualità dei dati. </w:t>
      </w:r>
    </w:p>
    <w:p w14:paraId="13235F2E" w14:textId="77777777" w:rsidR="005B51FD" w:rsidRPr="00C375B5" w:rsidRDefault="005B51FD" w:rsidP="005B51FD">
      <w:pPr>
        <w:jc w:val="both"/>
        <w:rPr>
          <w:rFonts w:ascii="Garamond" w:hAnsi="Garamond"/>
          <w:sz w:val="20"/>
          <w:szCs w:val="20"/>
        </w:rPr>
      </w:pPr>
    </w:p>
    <w:p w14:paraId="4F0716B1" w14:textId="77777777" w:rsidR="005B51FD" w:rsidRPr="00C375B5" w:rsidRDefault="005B51FD" w:rsidP="005B51FD">
      <w:pPr>
        <w:jc w:val="both"/>
        <w:rPr>
          <w:rFonts w:ascii="Garamond" w:hAnsi="Garamond"/>
          <w:sz w:val="20"/>
          <w:szCs w:val="20"/>
        </w:rPr>
      </w:pPr>
    </w:p>
    <w:p w14:paraId="5DFE59DE" w14:textId="77777777" w:rsidR="005B51FD" w:rsidRPr="00861061" w:rsidRDefault="005B51FD" w:rsidP="005B51FD">
      <w:pPr>
        <w:spacing w:after="40"/>
        <w:jc w:val="center"/>
        <w:rPr>
          <w:rFonts w:ascii="Calibri" w:hAnsi="Calibri"/>
          <w:b/>
          <w:sz w:val="20"/>
          <w:szCs w:val="20"/>
          <w:lang w:val="en-US"/>
        </w:rPr>
      </w:pPr>
      <w:r w:rsidRPr="00861061">
        <w:rPr>
          <w:rFonts w:ascii="Calibri" w:hAnsi="Calibri"/>
          <w:b/>
          <w:sz w:val="20"/>
          <w:szCs w:val="20"/>
          <w:lang w:val="en-US"/>
        </w:rPr>
        <w:t>Summary</w:t>
      </w:r>
    </w:p>
    <w:p w14:paraId="01CA8420" w14:textId="77777777" w:rsidR="005B51FD" w:rsidRPr="00C375B5" w:rsidRDefault="005B51FD" w:rsidP="005B51FD">
      <w:pPr>
        <w:spacing w:after="40"/>
        <w:rPr>
          <w:rFonts w:ascii="Garamond" w:hAnsi="Garamond"/>
          <w:i/>
          <w:sz w:val="20"/>
          <w:szCs w:val="20"/>
          <w:lang w:val="en-US"/>
        </w:rPr>
      </w:pPr>
      <w:r w:rsidRPr="00C375B5">
        <w:rPr>
          <w:rFonts w:ascii="Garamond" w:hAnsi="Garamond"/>
          <w:i/>
          <w:sz w:val="20"/>
          <w:szCs w:val="20"/>
          <w:lang w:val="en-US"/>
        </w:rPr>
        <w:t xml:space="preserve">Mortality in selected </w:t>
      </w:r>
      <w:r w:rsidRPr="00C375B5">
        <w:rPr>
          <w:rFonts w:ascii="Garamond" w:hAnsi="Garamond"/>
          <w:sz w:val="20"/>
          <w:szCs w:val="20"/>
          <w:lang w:val="en-US"/>
        </w:rPr>
        <w:t>Länder</w:t>
      </w:r>
      <w:r w:rsidRPr="00C375B5">
        <w:rPr>
          <w:rFonts w:ascii="Garamond" w:hAnsi="Garamond"/>
          <w:i/>
          <w:sz w:val="20"/>
          <w:szCs w:val="20"/>
          <w:lang w:val="en-US"/>
        </w:rPr>
        <w:t xml:space="preserve"> of the Austrian Empire in the mid XIX century</w:t>
      </w:r>
    </w:p>
    <w:p w14:paraId="513B775F" w14:textId="77777777" w:rsidR="005B51FD" w:rsidRPr="00C375B5" w:rsidRDefault="005B51FD" w:rsidP="005B51FD">
      <w:pPr>
        <w:jc w:val="both"/>
        <w:rPr>
          <w:rFonts w:ascii="Garamond" w:hAnsi="Garamond"/>
          <w:sz w:val="20"/>
          <w:szCs w:val="20"/>
          <w:lang w:val="en-US"/>
        </w:rPr>
      </w:pPr>
      <w:r w:rsidRPr="00C375B5">
        <w:rPr>
          <w:rFonts w:ascii="Garamond" w:hAnsi="Garamond"/>
          <w:sz w:val="20"/>
          <w:szCs w:val="20"/>
          <w:lang w:val="en-US"/>
        </w:rPr>
        <w:t xml:space="preserve">A source containing, among others, demographic data, published from 1829 to 1871, the </w:t>
      </w:r>
      <w:r w:rsidRPr="00C375B5">
        <w:rPr>
          <w:rFonts w:ascii="Garamond" w:hAnsi="Garamond"/>
          <w:i/>
          <w:sz w:val="20"/>
          <w:szCs w:val="20"/>
          <w:lang w:val="en-US"/>
        </w:rPr>
        <w:t>Tafeln</w:t>
      </w:r>
      <w:r w:rsidRPr="00C375B5">
        <w:rPr>
          <w:rFonts w:ascii="Garamond" w:hAnsi="Garamond"/>
          <w:sz w:val="20"/>
          <w:szCs w:val="20"/>
          <w:lang w:val="en-US"/>
        </w:rPr>
        <w:t xml:space="preserve"> </w:t>
      </w:r>
      <w:r w:rsidRPr="00C375B5">
        <w:rPr>
          <w:rFonts w:ascii="Garamond" w:hAnsi="Garamond"/>
          <w:i/>
          <w:sz w:val="20"/>
          <w:szCs w:val="20"/>
          <w:lang w:val="en-US"/>
        </w:rPr>
        <w:t>zur Statistik der Österreichischen Monarchie</w:t>
      </w:r>
      <w:r w:rsidRPr="00C375B5">
        <w:rPr>
          <w:rFonts w:ascii="Garamond" w:hAnsi="Garamond"/>
          <w:sz w:val="20"/>
          <w:szCs w:val="20"/>
          <w:lang w:val="en-US"/>
        </w:rPr>
        <w:t xml:space="preserve">, is used to examine mortality in some western </w:t>
      </w:r>
      <w:r w:rsidRPr="00C375B5">
        <w:rPr>
          <w:rFonts w:ascii="Garamond" w:hAnsi="Garamond"/>
          <w:i/>
          <w:sz w:val="20"/>
          <w:szCs w:val="20"/>
          <w:lang w:val="en-US"/>
        </w:rPr>
        <w:t>Länder</w:t>
      </w:r>
      <w:r w:rsidRPr="00C375B5">
        <w:rPr>
          <w:rFonts w:ascii="Garamond" w:hAnsi="Garamond"/>
          <w:sz w:val="20"/>
          <w:szCs w:val="20"/>
          <w:lang w:val="en-US"/>
        </w:rPr>
        <w:t xml:space="preserve"> of the Austrian Empire. In that period population data were provided yearly by both military and civil authorities, while data about vital events were instead compiled by the parishes. So we can estimate mortality, infant mortality, natality and natural increase in the years 1828 to 1865. In the period 1851 to 1859 we find data about deaths by sex and singulate year of age: it is therefore possible to build Life tables by the generalized Halley method. The results are very good or good for four regions (Lombardy, Veneto, </w:t>
      </w:r>
      <w:r w:rsidRPr="00C375B5">
        <w:rPr>
          <w:rFonts w:ascii="Garamond" w:hAnsi="Garamond"/>
          <w:i/>
          <w:sz w:val="20"/>
          <w:szCs w:val="20"/>
          <w:lang w:val="en-US"/>
        </w:rPr>
        <w:t>Tirol</w:t>
      </w:r>
      <w:r w:rsidRPr="00C375B5">
        <w:rPr>
          <w:rFonts w:ascii="Garamond" w:hAnsi="Garamond"/>
          <w:sz w:val="20"/>
          <w:szCs w:val="20"/>
          <w:lang w:val="en-US"/>
        </w:rPr>
        <w:t xml:space="preserve">, </w:t>
      </w:r>
      <w:r w:rsidRPr="00C375B5">
        <w:rPr>
          <w:rFonts w:ascii="Garamond" w:hAnsi="Garamond"/>
          <w:i/>
          <w:sz w:val="20"/>
          <w:szCs w:val="20"/>
          <w:lang w:val="en-US"/>
        </w:rPr>
        <w:t>Kustenland</w:t>
      </w:r>
      <w:r w:rsidRPr="00C375B5">
        <w:rPr>
          <w:rFonts w:ascii="Garamond" w:hAnsi="Garamond"/>
          <w:sz w:val="20"/>
          <w:szCs w:val="20"/>
          <w:lang w:val="en-US"/>
        </w:rPr>
        <w:t>), but not satisfactory for Dalmatia, probably d</w:t>
      </w:r>
      <w:r>
        <w:rPr>
          <w:rFonts w:ascii="Garamond" w:hAnsi="Garamond"/>
          <w:sz w:val="20"/>
          <w:szCs w:val="20"/>
          <w:lang w:val="en-US"/>
        </w:rPr>
        <w:t>ue to bad quality of data used.</w:t>
      </w:r>
    </w:p>
    <w:p w14:paraId="715F56BF" w14:textId="77777777" w:rsidR="005B51FD" w:rsidRDefault="005B51FD" w:rsidP="005B51FD">
      <w:pPr>
        <w:jc w:val="both"/>
        <w:rPr>
          <w:rFonts w:ascii="Garamond" w:hAnsi="Garamond"/>
          <w:sz w:val="20"/>
          <w:szCs w:val="20"/>
          <w:lang w:val="en-US"/>
        </w:rPr>
      </w:pPr>
    </w:p>
    <w:p w14:paraId="718FC90E" w14:textId="77777777" w:rsidR="005B51FD" w:rsidRPr="00C375B5" w:rsidRDefault="005B51FD" w:rsidP="005B51FD">
      <w:pPr>
        <w:jc w:val="both"/>
        <w:rPr>
          <w:rFonts w:ascii="Garamond" w:hAnsi="Garamond"/>
          <w:i/>
          <w:sz w:val="20"/>
          <w:szCs w:val="20"/>
        </w:rPr>
      </w:pPr>
      <w:r w:rsidRPr="00C375B5">
        <w:rPr>
          <w:rFonts w:ascii="Garamond" w:hAnsi="Garamond"/>
          <w:i/>
          <w:sz w:val="20"/>
          <w:szCs w:val="20"/>
        </w:rPr>
        <w:t>Parole chiave</w:t>
      </w:r>
    </w:p>
    <w:p w14:paraId="34211F0A" w14:textId="77777777" w:rsidR="005B51FD" w:rsidRPr="00C375B5" w:rsidRDefault="005B51FD" w:rsidP="005B51FD">
      <w:pPr>
        <w:jc w:val="both"/>
        <w:rPr>
          <w:rFonts w:ascii="Garamond" w:hAnsi="Garamond"/>
          <w:sz w:val="20"/>
          <w:szCs w:val="20"/>
        </w:rPr>
      </w:pPr>
      <w:r w:rsidRPr="00C375B5">
        <w:rPr>
          <w:rFonts w:ascii="Garamond" w:hAnsi="Garamond"/>
          <w:sz w:val="20"/>
          <w:szCs w:val="20"/>
        </w:rPr>
        <w:t>Impero Austriaco; Qualità dei dati; Mortalità; Tavole di mortalità.</w:t>
      </w:r>
    </w:p>
    <w:p w14:paraId="75B08D55" w14:textId="77777777" w:rsidR="005B51FD" w:rsidRPr="00C375B5" w:rsidRDefault="005B51FD" w:rsidP="005B51FD">
      <w:pPr>
        <w:jc w:val="both"/>
        <w:rPr>
          <w:rFonts w:ascii="Garamond" w:hAnsi="Garamond"/>
          <w:sz w:val="20"/>
          <w:szCs w:val="20"/>
          <w:lang w:val="en-US"/>
        </w:rPr>
      </w:pPr>
    </w:p>
    <w:p w14:paraId="112AF9C2" w14:textId="77777777" w:rsidR="005B51FD" w:rsidRPr="00C375B5" w:rsidRDefault="005B51FD" w:rsidP="005B51FD">
      <w:pPr>
        <w:jc w:val="both"/>
        <w:rPr>
          <w:rFonts w:ascii="Garamond" w:hAnsi="Garamond"/>
          <w:i/>
          <w:sz w:val="20"/>
          <w:szCs w:val="20"/>
          <w:lang w:val="en-US"/>
        </w:rPr>
      </w:pPr>
      <w:r w:rsidRPr="00C375B5">
        <w:rPr>
          <w:rFonts w:ascii="Garamond" w:hAnsi="Garamond"/>
          <w:i/>
          <w:sz w:val="20"/>
          <w:szCs w:val="20"/>
          <w:lang w:val="en-US"/>
        </w:rPr>
        <w:t>Keywords</w:t>
      </w:r>
    </w:p>
    <w:p w14:paraId="38BC2EF7" w14:textId="77777777" w:rsidR="005B51FD" w:rsidRPr="00C375B5" w:rsidRDefault="005B51FD" w:rsidP="005B51FD">
      <w:pPr>
        <w:jc w:val="both"/>
        <w:rPr>
          <w:rFonts w:ascii="Garamond" w:hAnsi="Garamond"/>
          <w:sz w:val="20"/>
          <w:szCs w:val="20"/>
          <w:lang w:val="en-US"/>
        </w:rPr>
      </w:pPr>
      <w:r w:rsidRPr="00C375B5">
        <w:rPr>
          <w:rFonts w:ascii="Garamond" w:hAnsi="Garamond"/>
          <w:sz w:val="20"/>
          <w:szCs w:val="20"/>
          <w:lang w:val="en-US"/>
        </w:rPr>
        <w:t>Austrian Empire; Data quality; Mortality; Life tables.</w:t>
      </w:r>
    </w:p>
    <w:p w14:paraId="50668829" w14:textId="77777777" w:rsidR="004546B7" w:rsidRPr="007D0655" w:rsidRDefault="004546B7" w:rsidP="007D0655">
      <w:pPr>
        <w:rPr>
          <w:rFonts w:ascii="Garamond" w:hAnsi="Garamond"/>
          <w:sz w:val="20"/>
          <w:szCs w:val="20"/>
        </w:rPr>
      </w:pPr>
    </w:p>
    <w:sectPr w:rsidR="004546B7" w:rsidRPr="007D0655" w:rsidSect="00283CF2">
      <w:headerReference w:type="even" r:id="rId10"/>
      <w:headerReference w:type="default" r:id="rId11"/>
      <w:footerReference w:type="even" r:id="rId12"/>
      <w:footerReference w:type="default" r:id="rId13"/>
      <w:headerReference w:type="first" r:id="rId14"/>
      <w:footerReference w:type="first" r:id="rId15"/>
      <w:pgSz w:w="9060" w:h="13600"/>
      <w:pgMar w:top="1418" w:right="1134" w:bottom="567" w:left="1134" w:header="851" w:footer="1016"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12EBEB" w14:textId="77777777" w:rsidR="00A16D17" w:rsidRDefault="00A16D17" w:rsidP="004546B7">
      <w:r>
        <w:separator/>
      </w:r>
    </w:p>
  </w:endnote>
  <w:endnote w:type="continuationSeparator" w:id="0">
    <w:p w14:paraId="497BAD01" w14:textId="77777777" w:rsidR="00A16D17" w:rsidRDefault="00A16D17" w:rsidP="00454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D0B50" w14:textId="77777777" w:rsidR="00A16D17" w:rsidRPr="002C7F77" w:rsidRDefault="00A16D17" w:rsidP="00AD4D76">
    <w:pPr>
      <w:pStyle w:val="Pidipagina"/>
      <w:framePr w:wrap="around" w:vAnchor="text" w:hAnchor="margin" w:xAlign="center" w:y="1"/>
      <w:rPr>
        <w:rStyle w:val="Numeropagina"/>
        <w:rFonts w:asciiTheme="majorHAnsi" w:hAnsiTheme="majorHAnsi"/>
        <w:sz w:val="18"/>
        <w:szCs w:val="18"/>
      </w:rPr>
    </w:pPr>
    <w:r w:rsidRPr="002C7F77">
      <w:rPr>
        <w:rStyle w:val="Numeropagina"/>
        <w:rFonts w:asciiTheme="majorHAnsi" w:hAnsiTheme="majorHAnsi"/>
        <w:sz w:val="18"/>
        <w:szCs w:val="18"/>
      </w:rPr>
      <w:fldChar w:fldCharType="begin"/>
    </w:r>
    <w:r w:rsidRPr="002C7F77">
      <w:rPr>
        <w:rStyle w:val="Numeropagina"/>
        <w:rFonts w:asciiTheme="majorHAnsi" w:hAnsiTheme="majorHAnsi"/>
        <w:sz w:val="18"/>
        <w:szCs w:val="18"/>
      </w:rPr>
      <w:instrText xml:space="preserve">PAGE  </w:instrText>
    </w:r>
    <w:r w:rsidRPr="002C7F77">
      <w:rPr>
        <w:rStyle w:val="Numeropagina"/>
        <w:rFonts w:asciiTheme="majorHAnsi" w:hAnsiTheme="majorHAnsi"/>
        <w:sz w:val="18"/>
        <w:szCs w:val="18"/>
      </w:rPr>
      <w:fldChar w:fldCharType="separate"/>
    </w:r>
    <w:r w:rsidR="005B51FD">
      <w:rPr>
        <w:rStyle w:val="Numeropagina"/>
        <w:rFonts w:asciiTheme="majorHAnsi" w:hAnsiTheme="majorHAnsi"/>
        <w:noProof/>
        <w:sz w:val="18"/>
        <w:szCs w:val="18"/>
      </w:rPr>
      <w:t>6</w:t>
    </w:r>
    <w:r w:rsidRPr="002C7F77">
      <w:rPr>
        <w:rStyle w:val="Numeropagina"/>
        <w:rFonts w:asciiTheme="majorHAnsi" w:hAnsiTheme="majorHAnsi"/>
        <w:sz w:val="18"/>
        <w:szCs w:val="18"/>
      </w:rPr>
      <w:fldChar w:fldCharType="end"/>
    </w:r>
  </w:p>
  <w:p w14:paraId="4567CD96" w14:textId="77777777" w:rsidR="00A16D17" w:rsidRDefault="00A16D17">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A98AE" w14:textId="77777777" w:rsidR="00A16D17" w:rsidRPr="00AD4D76" w:rsidRDefault="00A16D17" w:rsidP="00AD4D76">
    <w:pPr>
      <w:pStyle w:val="Pidipagina"/>
      <w:framePr w:wrap="around" w:vAnchor="text" w:hAnchor="margin" w:xAlign="center" w:y="1"/>
      <w:rPr>
        <w:rStyle w:val="Numeropagina"/>
        <w:rFonts w:asciiTheme="majorHAnsi" w:hAnsiTheme="majorHAnsi"/>
        <w:sz w:val="20"/>
        <w:szCs w:val="20"/>
      </w:rPr>
    </w:pPr>
    <w:r w:rsidRPr="00AD4D76">
      <w:rPr>
        <w:rStyle w:val="Numeropagina"/>
        <w:rFonts w:asciiTheme="majorHAnsi" w:hAnsiTheme="majorHAnsi"/>
        <w:sz w:val="20"/>
        <w:szCs w:val="20"/>
      </w:rPr>
      <w:fldChar w:fldCharType="begin"/>
    </w:r>
    <w:r w:rsidRPr="00AD4D76">
      <w:rPr>
        <w:rStyle w:val="Numeropagina"/>
        <w:rFonts w:asciiTheme="majorHAnsi" w:hAnsiTheme="majorHAnsi"/>
        <w:sz w:val="20"/>
        <w:szCs w:val="20"/>
      </w:rPr>
      <w:instrText xml:space="preserve">PAGE  </w:instrText>
    </w:r>
    <w:r w:rsidRPr="00AD4D76">
      <w:rPr>
        <w:rStyle w:val="Numeropagina"/>
        <w:rFonts w:asciiTheme="majorHAnsi" w:hAnsiTheme="majorHAnsi"/>
        <w:sz w:val="20"/>
        <w:szCs w:val="20"/>
      </w:rPr>
      <w:fldChar w:fldCharType="separate"/>
    </w:r>
    <w:r w:rsidR="005B51FD">
      <w:rPr>
        <w:rStyle w:val="Numeropagina"/>
        <w:rFonts w:asciiTheme="majorHAnsi" w:hAnsiTheme="majorHAnsi"/>
        <w:noProof/>
        <w:sz w:val="20"/>
        <w:szCs w:val="20"/>
      </w:rPr>
      <w:t>3</w:t>
    </w:r>
    <w:r w:rsidRPr="00AD4D76">
      <w:rPr>
        <w:rStyle w:val="Numeropagina"/>
        <w:rFonts w:asciiTheme="majorHAnsi" w:hAnsiTheme="majorHAnsi"/>
        <w:sz w:val="20"/>
        <w:szCs w:val="20"/>
      </w:rPr>
      <w:fldChar w:fldCharType="end"/>
    </w:r>
  </w:p>
  <w:p w14:paraId="4210170A" w14:textId="77777777" w:rsidR="00A16D17" w:rsidRPr="00AD4D76" w:rsidRDefault="00A16D17" w:rsidP="00AD4D76">
    <w:pPr>
      <w:pStyle w:val="Intestazione"/>
      <w:rPr>
        <w:rFonts w:asciiTheme="majorHAnsi" w:hAnsiTheme="majorHAnsi"/>
        <w:sz w:val="12"/>
        <w:szCs w:val="12"/>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FE386" w14:textId="77777777" w:rsidR="00A16D17" w:rsidRDefault="00A16D17" w:rsidP="002C7F77">
    <w:pPr>
      <w:pStyle w:val="Intestazione"/>
      <w:rPr>
        <w:rFonts w:asciiTheme="majorHAnsi" w:hAnsiTheme="majorHAnsi"/>
        <w:sz w:val="12"/>
        <w:szCs w:val="12"/>
      </w:rPr>
    </w:pPr>
  </w:p>
  <w:p w14:paraId="7A688715" w14:textId="77777777" w:rsidR="00A16D17" w:rsidRPr="004D30E7" w:rsidRDefault="00A16D17" w:rsidP="002C7F77">
    <w:pPr>
      <w:pStyle w:val="Intestazione"/>
      <w:rPr>
        <w:rFonts w:asciiTheme="majorHAnsi" w:hAnsiTheme="majorHAnsi"/>
        <w:sz w:val="16"/>
        <w:szCs w:val="16"/>
      </w:rPr>
    </w:pPr>
    <w:r w:rsidRPr="004D30E7">
      <w:rPr>
        <w:rFonts w:asciiTheme="majorHAnsi" w:hAnsiTheme="majorHAnsi"/>
        <w:sz w:val="16"/>
        <w:szCs w:val="16"/>
      </w:rPr>
      <w:t>SIDeS, «Popolazione e Storia»,</w:t>
    </w:r>
  </w:p>
  <w:p w14:paraId="17133721" w14:textId="423A686E" w:rsidR="00A16D17" w:rsidRPr="004D30E7" w:rsidRDefault="00A16D17" w:rsidP="002C7F77">
    <w:pPr>
      <w:pStyle w:val="Intestazione"/>
      <w:rPr>
        <w:rFonts w:asciiTheme="majorHAnsi" w:hAnsiTheme="majorHAnsi"/>
        <w:sz w:val="16"/>
        <w:szCs w:val="16"/>
      </w:rPr>
    </w:pPr>
    <w:r w:rsidRPr="004D30E7">
      <w:rPr>
        <w:rFonts w:asciiTheme="majorHAnsi" w:hAnsiTheme="majorHAnsi"/>
        <w:sz w:val="16"/>
        <w:szCs w:val="16"/>
      </w:rPr>
      <w:t>1/201</w:t>
    </w:r>
    <w:r w:rsidR="00283CF2">
      <w:rPr>
        <w:rFonts w:asciiTheme="majorHAnsi" w:hAnsiTheme="majorHAnsi"/>
        <w:sz w:val="16"/>
        <w:szCs w:val="16"/>
      </w:rPr>
      <w:t>8</w:t>
    </w:r>
    <w:r w:rsidRPr="004D30E7">
      <w:rPr>
        <w:rFonts w:asciiTheme="majorHAnsi" w:hAnsiTheme="majorHAnsi"/>
        <w:sz w:val="16"/>
        <w:szCs w:val="16"/>
      </w:rPr>
      <w:t>, pp. 35-55</w:t>
    </w:r>
    <w:r w:rsidR="005B51FD">
      <w:rPr>
        <w:rFonts w:asciiTheme="majorHAnsi" w:hAnsiTheme="majorHAnsi"/>
        <w:sz w:val="16"/>
        <w:szCs w:val="16"/>
      </w:rPr>
      <w:t>. DOI: (a cura dell’editore)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827F3D" w14:textId="77777777" w:rsidR="00A16D17" w:rsidRDefault="00A16D17" w:rsidP="004546B7">
      <w:r>
        <w:separator/>
      </w:r>
    </w:p>
  </w:footnote>
  <w:footnote w:type="continuationSeparator" w:id="0">
    <w:p w14:paraId="784544BA" w14:textId="77777777" w:rsidR="00A16D17" w:rsidRDefault="00A16D17" w:rsidP="004546B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25FEA" w14:textId="02FBB6D8" w:rsidR="00A16D17" w:rsidRPr="005B51FD" w:rsidRDefault="005B51FD" w:rsidP="00AD4D76">
    <w:pPr>
      <w:pStyle w:val="Intestazione"/>
      <w:pBdr>
        <w:bottom w:val="single" w:sz="4" w:space="1" w:color="auto"/>
      </w:pBdr>
      <w:rPr>
        <w:rFonts w:asciiTheme="majorHAnsi" w:hAnsiTheme="majorHAnsi"/>
        <w:smallCaps/>
        <w:sz w:val="16"/>
        <w:szCs w:val="16"/>
      </w:rPr>
    </w:pPr>
    <w:r w:rsidRPr="005B51FD">
      <w:rPr>
        <w:rFonts w:asciiTheme="majorHAnsi" w:hAnsiTheme="majorHAnsi"/>
        <w:smallCaps/>
        <w:sz w:val="16"/>
        <w:szCs w:val="16"/>
      </w:rPr>
      <w:t>Nome Autore</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F5343" w14:textId="4A436DE9" w:rsidR="00A16D17" w:rsidRPr="004D30E7" w:rsidRDefault="005B51FD" w:rsidP="00AD4D76">
    <w:pPr>
      <w:pStyle w:val="Intestazione"/>
      <w:pBdr>
        <w:bottom w:val="single" w:sz="4" w:space="1" w:color="auto"/>
      </w:pBdr>
      <w:jc w:val="right"/>
      <w:rPr>
        <w:rFonts w:asciiTheme="majorHAnsi" w:hAnsiTheme="majorHAnsi"/>
        <w:sz w:val="16"/>
        <w:szCs w:val="16"/>
      </w:rPr>
    </w:pPr>
    <w:r w:rsidRPr="004D30E7">
      <w:rPr>
        <w:rFonts w:asciiTheme="majorHAnsi" w:hAnsiTheme="majorHAnsi"/>
        <w:sz w:val="16"/>
        <w:szCs w:val="16"/>
      </w:rPr>
      <w:t xml:space="preserve">Titolo </w:t>
    </w:r>
    <w:r>
      <w:rPr>
        <w:rFonts w:asciiTheme="majorHAnsi" w:hAnsiTheme="majorHAnsi"/>
        <w:sz w:val="16"/>
        <w:szCs w:val="16"/>
      </w:rPr>
      <w:t>a</w:t>
    </w:r>
    <w:bookmarkStart w:id="0" w:name="_GoBack"/>
    <w:bookmarkEnd w:id="0"/>
    <w:r w:rsidRPr="004D30E7">
      <w:rPr>
        <w:rFonts w:asciiTheme="majorHAnsi" w:hAnsiTheme="majorHAnsi"/>
        <w:sz w:val="16"/>
        <w:szCs w:val="16"/>
      </w:rPr>
      <w:t>rticolo</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200DD" w14:textId="77777777" w:rsidR="005B51FD" w:rsidRDefault="005B51FD">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2"/>
    <w:lvl w:ilvl="0">
      <w:start w:val="1"/>
      <w:numFmt w:val="decimal"/>
      <w:lvlText w:val="%1."/>
      <w:lvlJc w:val="left"/>
      <w:pPr>
        <w:tabs>
          <w:tab w:val="num" w:pos="1004"/>
        </w:tabs>
        <w:ind w:left="1004" w:hanging="360"/>
      </w:pPr>
    </w:lvl>
  </w:abstractNum>
  <w:abstractNum w:abstractNumId="1">
    <w:nsid w:val="00000003"/>
    <w:multiLevelType w:val="multilevel"/>
    <w:tmpl w:val="00000003"/>
    <w:name w:val="WW8Num13"/>
    <w:lvl w:ilvl="0">
      <w:start w:val="1"/>
      <w:numFmt w:val="decimal"/>
      <w:lvlText w:val="%1"/>
      <w:lvlJc w:val="left"/>
      <w:pPr>
        <w:tabs>
          <w:tab w:val="num" w:pos="284"/>
        </w:tabs>
        <w:ind w:left="284" w:hanging="284"/>
      </w:pPr>
    </w:lvl>
    <w:lvl w:ilvl="1">
      <w:start w:val="1"/>
      <w:numFmt w:val="decimal"/>
      <w:lvlText w:val="%1.%2"/>
      <w:lvlJc w:val="left"/>
      <w:pPr>
        <w:tabs>
          <w:tab w:val="num" w:pos="284"/>
        </w:tabs>
        <w:ind w:left="284" w:hanging="284"/>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283"/>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822"/>
    <w:rsid w:val="000E2D4C"/>
    <w:rsid w:val="00283CF2"/>
    <w:rsid w:val="00287FD3"/>
    <w:rsid w:val="002C7F77"/>
    <w:rsid w:val="004546B7"/>
    <w:rsid w:val="004D30E7"/>
    <w:rsid w:val="005B51FD"/>
    <w:rsid w:val="007D0655"/>
    <w:rsid w:val="008436A6"/>
    <w:rsid w:val="00957111"/>
    <w:rsid w:val="00A16D17"/>
    <w:rsid w:val="00A9476D"/>
    <w:rsid w:val="00AD4D76"/>
    <w:rsid w:val="00BF539C"/>
    <w:rsid w:val="00E56822"/>
    <w:rsid w:val="00F1079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D7DA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51FD"/>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aintext">
    <w:name w:val="Main text"/>
    <w:basedOn w:val="Normale"/>
    <w:rsid w:val="007D0655"/>
    <w:pPr>
      <w:suppressAutoHyphens/>
      <w:jc w:val="both"/>
    </w:pPr>
    <w:rPr>
      <w:rFonts w:ascii="Times New Roman" w:eastAsia="Times New Roman" w:hAnsi="Times New Roman" w:cs="Times New Roman"/>
      <w:sz w:val="18"/>
      <w:szCs w:val="20"/>
      <w:lang w:val="en-GB" w:eastAsia="ar-SA"/>
    </w:rPr>
  </w:style>
  <w:style w:type="paragraph" w:customStyle="1" w:styleId="Maintextfirstline">
    <w:name w:val="Main text: first line"/>
    <w:next w:val="Maintext"/>
    <w:rsid w:val="007D0655"/>
    <w:pPr>
      <w:suppressAutoHyphens/>
      <w:jc w:val="both"/>
    </w:pPr>
    <w:rPr>
      <w:rFonts w:ascii="Times New Roman" w:eastAsia="Arial" w:hAnsi="Times New Roman" w:cs="Times New Roman"/>
      <w:sz w:val="18"/>
      <w:szCs w:val="20"/>
      <w:lang w:val="en-GB" w:eastAsia="ar-SA"/>
    </w:rPr>
  </w:style>
  <w:style w:type="paragraph" w:customStyle="1" w:styleId="Subsectionheading">
    <w:name w:val="Subsection heading"/>
    <w:basedOn w:val="Normale"/>
    <w:next w:val="Maintextfirstline"/>
    <w:rsid w:val="004546B7"/>
    <w:pPr>
      <w:numPr>
        <w:numId w:val="2"/>
      </w:numPr>
      <w:suppressAutoHyphens/>
      <w:spacing w:before="624" w:after="240"/>
    </w:pPr>
    <w:rPr>
      <w:rFonts w:ascii="Times New Roman" w:eastAsia="Times New Roman" w:hAnsi="Times New Roman" w:cs="Times New Roman"/>
      <w:b/>
      <w:i/>
      <w:lang w:val="en-US" w:eastAsia="ar-SA"/>
    </w:rPr>
  </w:style>
  <w:style w:type="paragraph" w:styleId="Intestazione">
    <w:name w:val="header"/>
    <w:basedOn w:val="Normale"/>
    <w:link w:val="IntestazioneCarattere"/>
    <w:uiPriority w:val="99"/>
    <w:unhideWhenUsed/>
    <w:rsid w:val="004546B7"/>
    <w:pPr>
      <w:tabs>
        <w:tab w:val="center" w:pos="4819"/>
        <w:tab w:val="right" w:pos="9638"/>
      </w:tabs>
    </w:pPr>
  </w:style>
  <w:style w:type="character" w:customStyle="1" w:styleId="IntestazioneCarattere">
    <w:name w:val="Intestazione Carattere"/>
    <w:basedOn w:val="Caratterepredefinitoparagrafo"/>
    <w:link w:val="Intestazione"/>
    <w:uiPriority w:val="99"/>
    <w:rsid w:val="004546B7"/>
  </w:style>
  <w:style w:type="paragraph" w:styleId="Pidipagina">
    <w:name w:val="footer"/>
    <w:basedOn w:val="Normale"/>
    <w:link w:val="PidipaginaCarattere"/>
    <w:uiPriority w:val="99"/>
    <w:unhideWhenUsed/>
    <w:rsid w:val="004546B7"/>
    <w:pPr>
      <w:tabs>
        <w:tab w:val="center" w:pos="4819"/>
        <w:tab w:val="right" w:pos="9638"/>
      </w:tabs>
    </w:pPr>
  </w:style>
  <w:style w:type="character" w:customStyle="1" w:styleId="PidipaginaCarattere">
    <w:name w:val="Piè di pagina Carattere"/>
    <w:basedOn w:val="Caratterepredefinitoparagrafo"/>
    <w:link w:val="Pidipagina"/>
    <w:uiPriority w:val="99"/>
    <w:rsid w:val="004546B7"/>
  </w:style>
  <w:style w:type="character" w:styleId="Numeropagina">
    <w:name w:val="page number"/>
    <w:basedOn w:val="Caratterepredefinitoparagrafo"/>
    <w:uiPriority w:val="99"/>
    <w:semiHidden/>
    <w:unhideWhenUsed/>
    <w:rsid w:val="00AD4D76"/>
  </w:style>
  <w:style w:type="paragraph" w:styleId="Testofumetto">
    <w:name w:val="Balloon Text"/>
    <w:basedOn w:val="Normale"/>
    <w:link w:val="TestofumettoCarattere"/>
    <w:uiPriority w:val="99"/>
    <w:semiHidden/>
    <w:unhideWhenUsed/>
    <w:rsid w:val="00957111"/>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957111"/>
    <w:rPr>
      <w:rFonts w:ascii="Lucida Grande" w:hAnsi="Lucida Grande" w:cs="Lucida Grande"/>
      <w:sz w:val="18"/>
      <w:szCs w:val="18"/>
    </w:rPr>
  </w:style>
  <w:style w:type="paragraph" w:styleId="Testonotaapidipagina">
    <w:name w:val="footnote text"/>
    <w:basedOn w:val="Normale"/>
    <w:link w:val="TestonotaapidipaginaCarattere"/>
    <w:semiHidden/>
    <w:rsid w:val="005B51FD"/>
    <w:rPr>
      <w:rFonts w:ascii="Times New Roman" w:eastAsia="Times New Roman" w:hAnsi="Times New Roman" w:cs="Times New Roman"/>
      <w:sz w:val="20"/>
      <w:szCs w:val="20"/>
    </w:rPr>
  </w:style>
  <w:style w:type="character" w:customStyle="1" w:styleId="TestonotaapidipaginaCarattere">
    <w:name w:val="Testo nota a piè di pagina Carattere"/>
    <w:basedOn w:val="Caratterepredefinitoparagrafo"/>
    <w:link w:val="Testonotaapidipagina"/>
    <w:semiHidden/>
    <w:rsid w:val="005B51FD"/>
    <w:rPr>
      <w:rFonts w:ascii="Times New Roman" w:eastAsia="Times New Roman" w:hAnsi="Times New Roman" w:cs="Times New Roman"/>
      <w:sz w:val="20"/>
      <w:szCs w:val="20"/>
    </w:rPr>
  </w:style>
  <w:style w:type="paragraph" w:customStyle="1" w:styleId="References">
    <w:name w:val="References"/>
    <w:basedOn w:val="Normale"/>
    <w:rsid w:val="005B51FD"/>
    <w:pPr>
      <w:suppressAutoHyphens/>
      <w:spacing w:before="480" w:after="240"/>
      <w:jc w:val="both"/>
    </w:pPr>
    <w:rPr>
      <w:rFonts w:ascii="Times New Roman" w:eastAsia="Times New Roman" w:hAnsi="Times New Roman" w:cs="Times New Roman"/>
      <w:b/>
      <w:szCs w:val="20"/>
      <w:lang w:val="en-US" w:eastAsia="ar-SA"/>
    </w:rPr>
  </w:style>
  <w:style w:type="paragraph" w:styleId="Testonotadichiusura">
    <w:name w:val="endnote text"/>
    <w:basedOn w:val="Normale"/>
    <w:link w:val="TestonotadichiusuraCarattere"/>
    <w:rsid w:val="005B51FD"/>
    <w:rPr>
      <w:rFonts w:ascii="Times New Roman" w:eastAsia="Times New Roman" w:hAnsi="Times New Roman" w:cs="Times New Roman"/>
      <w:sz w:val="20"/>
      <w:szCs w:val="20"/>
    </w:rPr>
  </w:style>
  <w:style w:type="character" w:customStyle="1" w:styleId="TestonotadichiusuraCarattere">
    <w:name w:val="Testo nota di chiusura Carattere"/>
    <w:basedOn w:val="Caratterepredefinitoparagrafo"/>
    <w:link w:val="Testonotadichiusura"/>
    <w:rsid w:val="005B51FD"/>
    <w:rPr>
      <w:rFonts w:ascii="Times New Roman" w:eastAsia="Times New Roman" w:hAnsi="Times New Roman" w:cs="Times New Roman"/>
      <w:sz w:val="20"/>
      <w:szCs w:val="20"/>
    </w:rPr>
  </w:style>
  <w:style w:type="character" w:styleId="Rimandonotadichiusura">
    <w:name w:val="endnote reference"/>
    <w:rsid w:val="005B51FD"/>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51FD"/>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aintext">
    <w:name w:val="Main text"/>
    <w:basedOn w:val="Normale"/>
    <w:rsid w:val="007D0655"/>
    <w:pPr>
      <w:suppressAutoHyphens/>
      <w:jc w:val="both"/>
    </w:pPr>
    <w:rPr>
      <w:rFonts w:ascii="Times New Roman" w:eastAsia="Times New Roman" w:hAnsi="Times New Roman" w:cs="Times New Roman"/>
      <w:sz w:val="18"/>
      <w:szCs w:val="20"/>
      <w:lang w:val="en-GB" w:eastAsia="ar-SA"/>
    </w:rPr>
  </w:style>
  <w:style w:type="paragraph" w:customStyle="1" w:styleId="Maintextfirstline">
    <w:name w:val="Main text: first line"/>
    <w:next w:val="Maintext"/>
    <w:rsid w:val="007D0655"/>
    <w:pPr>
      <w:suppressAutoHyphens/>
      <w:jc w:val="both"/>
    </w:pPr>
    <w:rPr>
      <w:rFonts w:ascii="Times New Roman" w:eastAsia="Arial" w:hAnsi="Times New Roman" w:cs="Times New Roman"/>
      <w:sz w:val="18"/>
      <w:szCs w:val="20"/>
      <w:lang w:val="en-GB" w:eastAsia="ar-SA"/>
    </w:rPr>
  </w:style>
  <w:style w:type="paragraph" w:customStyle="1" w:styleId="Subsectionheading">
    <w:name w:val="Subsection heading"/>
    <w:basedOn w:val="Normale"/>
    <w:next w:val="Maintextfirstline"/>
    <w:rsid w:val="004546B7"/>
    <w:pPr>
      <w:numPr>
        <w:numId w:val="2"/>
      </w:numPr>
      <w:suppressAutoHyphens/>
      <w:spacing w:before="624" w:after="240"/>
    </w:pPr>
    <w:rPr>
      <w:rFonts w:ascii="Times New Roman" w:eastAsia="Times New Roman" w:hAnsi="Times New Roman" w:cs="Times New Roman"/>
      <w:b/>
      <w:i/>
      <w:lang w:val="en-US" w:eastAsia="ar-SA"/>
    </w:rPr>
  </w:style>
  <w:style w:type="paragraph" w:styleId="Intestazione">
    <w:name w:val="header"/>
    <w:basedOn w:val="Normale"/>
    <w:link w:val="IntestazioneCarattere"/>
    <w:uiPriority w:val="99"/>
    <w:unhideWhenUsed/>
    <w:rsid w:val="004546B7"/>
    <w:pPr>
      <w:tabs>
        <w:tab w:val="center" w:pos="4819"/>
        <w:tab w:val="right" w:pos="9638"/>
      </w:tabs>
    </w:pPr>
  </w:style>
  <w:style w:type="character" w:customStyle="1" w:styleId="IntestazioneCarattere">
    <w:name w:val="Intestazione Carattere"/>
    <w:basedOn w:val="Caratterepredefinitoparagrafo"/>
    <w:link w:val="Intestazione"/>
    <w:uiPriority w:val="99"/>
    <w:rsid w:val="004546B7"/>
  </w:style>
  <w:style w:type="paragraph" w:styleId="Pidipagina">
    <w:name w:val="footer"/>
    <w:basedOn w:val="Normale"/>
    <w:link w:val="PidipaginaCarattere"/>
    <w:uiPriority w:val="99"/>
    <w:unhideWhenUsed/>
    <w:rsid w:val="004546B7"/>
    <w:pPr>
      <w:tabs>
        <w:tab w:val="center" w:pos="4819"/>
        <w:tab w:val="right" w:pos="9638"/>
      </w:tabs>
    </w:pPr>
  </w:style>
  <w:style w:type="character" w:customStyle="1" w:styleId="PidipaginaCarattere">
    <w:name w:val="Piè di pagina Carattere"/>
    <w:basedOn w:val="Caratterepredefinitoparagrafo"/>
    <w:link w:val="Pidipagina"/>
    <w:uiPriority w:val="99"/>
    <w:rsid w:val="004546B7"/>
  </w:style>
  <w:style w:type="character" w:styleId="Numeropagina">
    <w:name w:val="page number"/>
    <w:basedOn w:val="Caratterepredefinitoparagrafo"/>
    <w:uiPriority w:val="99"/>
    <w:semiHidden/>
    <w:unhideWhenUsed/>
    <w:rsid w:val="00AD4D76"/>
  </w:style>
  <w:style w:type="paragraph" w:styleId="Testofumetto">
    <w:name w:val="Balloon Text"/>
    <w:basedOn w:val="Normale"/>
    <w:link w:val="TestofumettoCarattere"/>
    <w:uiPriority w:val="99"/>
    <w:semiHidden/>
    <w:unhideWhenUsed/>
    <w:rsid w:val="00957111"/>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957111"/>
    <w:rPr>
      <w:rFonts w:ascii="Lucida Grande" w:hAnsi="Lucida Grande" w:cs="Lucida Grande"/>
      <w:sz w:val="18"/>
      <w:szCs w:val="18"/>
    </w:rPr>
  </w:style>
  <w:style w:type="paragraph" w:styleId="Testonotaapidipagina">
    <w:name w:val="footnote text"/>
    <w:basedOn w:val="Normale"/>
    <w:link w:val="TestonotaapidipaginaCarattere"/>
    <w:semiHidden/>
    <w:rsid w:val="005B51FD"/>
    <w:rPr>
      <w:rFonts w:ascii="Times New Roman" w:eastAsia="Times New Roman" w:hAnsi="Times New Roman" w:cs="Times New Roman"/>
      <w:sz w:val="20"/>
      <w:szCs w:val="20"/>
    </w:rPr>
  </w:style>
  <w:style w:type="character" w:customStyle="1" w:styleId="TestonotaapidipaginaCarattere">
    <w:name w:val="Testo nota a piè di pagina Carattere"/>
    <w:basedOn w:val="Caratterepredefinitoparagrafo"/>
    <w:link w:val="Testonotaapidipagina"/>
    <w:semiHidden/>
    <w:rsid w:val="005B51FD"/>
    <w:rPr>
      <w:rFonts w:ascii="Times New Roman" w:eastAsia="Times New Roman" w:hAnsi="Times New Roman" w:cs="Times New Roman"/>
      <w:sz w:val="20"/>
      <w:szCs w:val="20"/>
    </w:rPr>
  </w:style>
  <w:style w:type="paragraph" w:customStyle="1" w:styleId="References">
    <w:name w:val="References"/>
    <w:basedOn w:val="Normale"/>
    <w:rsid w:val="005B51FD"/>
    <w:pPr>
      <w:suppressAutoHyphens/>
      <w:spacing w:before="480" w:after="240"/>
      <w:jc w:val="both"/>
    </w:pPr>
    <w:rPr>
      <w:rFonts w:ascii="Times New Roman" w:eastAsia="Times New Roman" w:hAnsi="Times New Roman" w:cs="Times New Roman"/>
      <w:b/>
      <w:szCs w:val="20"/>
      <w:lang w:val="en-US" w:eastAsia="ar-SA"/>
    </w:rPr>
  </w:style>
  <w:style w:type="paragraph" w:styleId="Testonotadichiusura">
    <w:name w:val="endnote text"/>
    <w:basedOn w:val="Normale"/>
    <w:link w:val="TestonotadichiusuraCarattere"/>
    <w:rsid w:val="005B51FD"/>
    <w:rPr>
      <w:rFonts w:ascii="Times New Roman" w:eastAsia="Times New Roman" w:hAnsi="Times New Roman" w:cs="Times New Roman"/>
      <w:sz w:val="20"/>
      <w:szCs w:val="20"/>
    </w:rPr>
  </w:style>
  <w:style w:type="character" w:customStyle="1" w:styleId="TestonotadichiusuraCarattere">
    <w:name w:val="Testo nota di chiusura Carattere"/>
    <w:basedOn w:val="Caratterepredefinitoparagrafo"/>
    <w:link w:val="Testonotadichiusura"/>
    <w:rsid w:val="005B51FD"/>
    <w:rPr>
      <w:rFonts w:ascii="Times New Roman" w:eastAsia="Times New Roman" w:hAnsi="Times New Roman" w:cs="Times New Roman"/>
      <w:sz w:val="20"/>
      <w:szCs w:val="20"/>
    </w:rPr>
  </w:style>
  <w:style w:type="character" w:styleId="Rimandonotadichiusura">
    <w:name w:val="endnote reference"/>
    <w:rsid w:val="005B51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CE7F2-B65A-BB43-83E3-752659CC3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1850</Words>
  <Characters>10548</Characters>
  <Application>Microsoft Macintosh Word</Application>
  <DocSecurity>0</DocSecurity>
  <Lines>87</Lines>
  <Paragraphs>24</Paragraphs>
  <ScaleCrop>false</ScaleCrop>
  <Company>Forum Editrice</Company>
  <LinksUpToDate>false</LinksUpToDate>
  <CharactersWithSpaces>12374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dc:creator>
  <cp:keywords/>
  <dc:description/>
  <cp:lastModifiedBy>Cristina De Franceschi</cp:lastModifiedBy>
  <cp:revision>7</cp:revision>
  <cp:lastPrinted>2016-04-05T15:18:00Z</cp:lastPrinted>
  <dcterms:created xsi:type="dcterms:W3CDTF">2016-04-05T13:53:00Z</dcterms:created>
  <dcterms:modified xsi:type="dcterms:W3CDTF">2018-05-14T09:47:00Z</dcterms:modified>
</cp:coreProperties>
</file>